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B38" w:rsidRPr="00920823" w:rsidRDefault="00AB3B38" w:rsidP="00AB3B38">
      <w:pPr>
        <w:spacing w:line="360" w:lineRule="auto"/>
        <w:contextualSpacing/>
        <w:jc w:val="center"/>
        <w:rPr>
          <w:rFonts w:ascii="Times New Roman" w:hAnsi="Times New Roman" w:cs="Times New Roman"/>
          <w:b/>
          <w:sz w:val="28"/>
          <w:szCs w:val="28"/>
        </w:rPr>
      </w:pPr>
      <w:proofErr w:type="spellStart"/>
      <w:r w:rsidRPr="00920823">
        <w:rPr>
          <w:rFonts w:ascii="Times New Roman" w:hAnsi="Times New Roman" w:cs="Times New Roman"/>
          <w:b/>
          <w:sz w:val="28"/>
          <w:szCs w:val="28"/>
        </w:rPr>
        <w:t>Sulfocoumarins</w:t>
      </w:r>
      <w:proofErr w:type="spellEnd"/>
      <w:r w:rsidRPr="00920823">
        <w:rPr>
          <w:rFonts w:ascii="Times New Roman" w:hAnsi="Times New Roman" w:cs="Times New Roman"/>
          <w:b/>
          <w:sz w:val="28"/>
          <w:szCs w:val="28"/>
        </w:rPr>
        <w:t xml:space="preserve">, specific carbonic anhydrase IX and XII inhibitors, interact with </w:t>
      </w:r>
      <w:r>
        <w:rPr>
          <w:rFonts w:ascii="Times New Roman" w:hAnsi="Times New Roman" w:cs="Times New Roman"/>
          <w:b/>
          <w:sz w:val="28"/>
          <w:szCs w:val="28"/>
        </w:rPr>
        <w:t xml:space="preserve">cancer </w:t>
      </w:r>
      <w:r w:rsidRPr="00920823">
        <w:rPr>
          <w:rFonts w:ascii="Times New Roman" w:hAnsi="Times New Roman" w:cs="Times New Roman"/>
          <w:b/>
          <w:sz w:val="28"/>
          <w:szCs w:val="28"/>
        </w:rPr>
        <w:t>multidrug resistant phenotype through pH regulation and reverse P-glycoprotein mediated resistance</w:t>
      </w:r>
    </w:p>
    <w:p w:rsidR="00AB3B38" w:rsidRDefault="00AB3B38" w:rsidP="00AB3B38">
      <w:pPr>
        <w:spacing w:line="360" w:lineRule="auto"/>
        <w:contextualSpacing/>
        <w:jc w:val="both"/>
        <w:rPr>
          <w:rFonts w:ascii="Times New Roman" w:hAnsi="Times New Roman" w:cs="Times New Roman"/>
          <w:b/>
          <w:sz w:val="24"/>
          <w:szCs w:val="24"/>
        </w:rPr>
      </w:pPr>
    </w:p>
    <w:p w:rsidR="00AB3B38" w:rsidRDefault="00AB3B38" w:rsidP="00AB3B38">
      <w:pPr>
        <w:spacing w:line="360" w:lineRule="auto"/>
        <w:contextualSpacing/>
        <w:jc w:val="both"/>
        <w:rPr>
          <w:rFonts w:ascii="Times New Roman" w:hAnsi="Times New Roman" w:cs="Times New Roman"/>
          <w:sz w:val="24"/>
          <w:szCs w:val="24"/>
        </w:rPr>
      </w:pPr>
      <w:r w:rsidRPr="00920823">
        <w:rPr>
          <w:rFonts w:ascii="Times New Roman" w:hAnsi="Times New Roman" w:cs="Times New Roman"/>
          <w:sz w:val="24"/>
          <w:szCs w:val="24"/>
        </w:rPr>
        <w:t xml:space="preserve">Ana </w:t>
      </w:r>
      <w:proofErr w:type="spellStart"/>
      <w:r w:rsidRPr="00920823">
        <w:rPr>
          <w:rFonts w:ascii="Times New Roman" w:hAnsi="Times New Roman" w:cs="Times New Roman"/>
          <w:sz w:val="24"/>
          <w:szCs w:val="24"/>
        </w:rPr>
        <w:t>Podolski-Renić</w:t>
      </w:r>
      <w:proofErr w:type="spellEnd"/>
      <w:r w:rsidRPr="00920823">
        <w:rPr>
          <w:rFonts w:ascii="Times New Roman" w:hAnsi="Times New Roman" w:cs="Times New Roman"/>
          <w:sz w:val="24"/>
          <w:szCs w:val="24"/>
        </w:rPr>
        <w:t xml:space="preserve">, </w:t>
      </w:r>
      <w:proofErr w:type="spellStart"/>
      <w:r w:rsidRPr="00920823">
        <w:rPr>
          <w:rFonts w:ascii="Times New Roman" w:hAnsi="Times New Roman" w:cs="Times New Roman"/>
          <w:sz w:val="24"/>
          <w:szCs w:val="24"/>
        </w:rPr>
        <w:t>Jelena</w:t>
      </w:r>
      <w:proofErr w:type="spellEnd"/>
      <w:r>
        <w:rPr>
          <w:rFonts w:ascii="Times New Roman" w:hAnsi="Times New Roman" w:cs="Times New Roman"/>
          <w:sz w:val="24"/>
          <w:szCs w:val="24"/>
        </w:rPr>
        <w:t xml:space="preserve"> </w:t>
      </w:r>
      <w:proofErr w:type="spellStart"/>
      <w:r w:rsidRPr="00920823">
        <w:rPr>
          <w:rFonts w:ascii="Times New Roman" w:hAnsi="Times New Roman" w:cs="Times New Roman"/>
          <w:sz w:val="24"/>
          <w:szCs w:val="24"/>
        </w:rPr>
        <w:t>Dinić</w:t>
      </w:r>
      <w:proofErr w:type="spellEnd"/>
      <w:r w:rsidRPr="00920823">
        <w:rPr>
          <w:rFonts w:ascii="Times New Roman" w:hAnsi="Times New Roman" w:cs="Times New Roman"/>
          <w:sz w:val="24"/>
          <w:szCs w:val="24"/>
        </w:rPr>
        <w:t xml:space="preserve">, </w:t>
      </w:r>
      <w:proofErr w:type="spellStart"/>
      <w:r>
        <w:rPr>
          <w:rFonts w:ascii="Times New Roman" w:hAnsi="Times New Roman" w:cs="Times New Roman"/>
          <w:sz w:val="24"/>
          <w:szCs w:val="24"/>
        </w:rPr>
        <w:t>Tijana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Stanković</w:t>
      </w:r>
      <w:proofErr w:type="spellEnd"/>
      <w:r>
        <w:rPr>
          <w:rFonts w:ascii="Times New Roman" w:hAnsi="Times New Roman" w:cs="Times New Roman"/>
          <w:sz w:val="24"/>
          <w:szCs w:val="24"/>
        </w:rPr>
        <w:t xml:space="preserve">, Mirna </w:t>
      </w:r>
      <w:proofErr w:type="spellStart"/>
      <w:r>
        <w:rPr>
          <w:rFonts w:ascii="Times New Roman" w:hAnsi="Times New Roman" w:cs="Times New Roman"/>
          <w:sz w:val="24"/>
          <w:szCs w:val="24"/>
        </w:rPr>
        <w:t>Jovanović</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Ramović</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Aleksandrs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Pustenko</w:t>
      </w:r>
      <w:proofErr w:type="spellEnd"/>
      <w:r>
        <w:rPr>
          <w:rFonts w:ascii="Times New Roman" w:hAnsi="Times New Roman" w:cs="Times New Roman"/>
          <w:sz w:val="24"/>
          <w:szCs w:val="24"/>
        </w:rPr>
        <w:t xml:space="preserve">, </w:t>
      </w:r>
      <w:proofErr w:type="spellStart"/>
      <w:r w:rsidRPr="00920823">
        <w:rPr>
          <w:rFonts w:ascii="Times New Roman" w:hAnsi="Times New Roman" w:cs="Times New Roman"/>
          <w:sz w:val="24"/>
          <w:szCs w:val="24"/>
        </w:rPr>
        <w:t>Raivis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Ž</w:t>
      </w:r>
      <w:r w:rsidRPr="00920823">
        <w:rPr>
          <w:rFonts w:ascii="Times New Roman" w:hAnsi="Times New Roman" w:cs="Times New Roman"/>
          <w:sz w:val="24"/>
          <w:szCs w:val="24"/>
        </w:rPr>
        <w:t>alubovskis</w:t>
      </w:r>
      <w:proofErr w:type="spellEnd"/>
      <w:r>
        <w:rPr>
          <w:rFonts w:ascii="Times New Roman" w:hAnsi="Times New Roman" w:cs="Times New Roman"/>
          <w:sz w:val="24"/>
          <w:szCs w:val="24"/>
        </w:rPr>
        <w:t xml:space="preserve">, </w:t>
      </w:r>
      <w:proofErr w:type="spellStart"/>
      <w:r w:rsidRPr="00920823">
        <w:rPr>
          <w:rFonts w:ascii="Times New Roman" w:hAnsi="Times New Roman" w:cs="Times New Roman"/>
          <w:sz w:val="24"/>
          <w:szCs w:val="24"/>
        </w:rPr>
        <w:t>Milica</w:t>
      </w:r>
      <w:proofErr w:type="spellEnd"/>
      <w:r>
        <w:rPr>
          <w:rFonts w:ascii="Times New Roman" w:hAnsi="Times New Roman" w:cs="Times New Roman"/>
          <w:sz w:val="24"/>
          <w:szCs w:val="24"/>
        </w:rPr>
        <w:t xml:space="preserve"> </w:t>
      </w:r>
      <w:proofErr w:type="spellStart"/>
      <w:r w:rsidRPr="00920823">
        <w:rPr>
          <w:rFonts w:ascii="Times New Roman" w:hAnsi="Times New Roman" w:cs="Times New Roman"/>
          <w:sz w:val="24"/>
          <w:szCs w:val="24"/>
        </w:rPr>
        <w:t>Pešić</w:t>
      </w:r>
      <w:proofErr w:type="spellEnd"/>
    </w:p>
    <w:p w:rsidR="00AB3B38" w:rsidRDefault="00AB3B38" w:rsidP="00AB3B38">
      <w:pPr>
        <w:spacing w:line="360" w:lineRule="auto"/>
        <w:contextualSpacing/>
        <w:jc w:val="both"/>
        <w:rPr>
          <w:rFonts w:ascii="Times New Roman" w:hAnsi="Times New Roman" w:cs="Times New Roman"/>
          <w:sz w:val="24"/>
          <w:szCs w:val="24"/>
        </w:rPr>
      </w:pPr>
    </w:p>
    <w:p w:rsidR="00AB3B38" w:rsidRPr="00AB3B38" w:rsidRDefault="00AB3B38" w:rsidP="00AB3B38">
      <w:pPr>
        <w:spacing w:line="360" w:lineRule="auto"/>
        <w:contextualSpacing/>
        <w:jc w:val="center"/>
        <w:rPr>
          <w:rFonts w:ascii="Times New Roman" w:hAnsi="Times New Roman" w:cs="Times New Roman"/>
          <w:b/>
          <w:sz w:val="28"/>
          <w:szCs w:val="28"/>
        </w:rPr>
      </w:pPr>
      <w:r w:rsidRPr="00AB3B38">
        <w:rPr>
          <w:rFonts w:ascii="Times New Roman" w:hAnsi="Times New Roman" w:cs="Times New Roman"/>
          <w:b/>
          <w:sz w:val="28"/>
          <w:szCs w:val="28"/>
        </w:rPr>
        <w:t xml:space="preserve">Supplementary </w:t>
      </w:r>
      <w:r w:rsidR="004E4A95">
        <w:rPr>
          <w:rFonts w:ascii="Times New Roman" w:hAnsi="Times New Roman" w:cs="Times New Roman"/>
          <w:b/>
          <w:sz w:val="28"/>
          <w:szCs w:val="28"/>
        </w:rPr>
        <w:t>Material</w:t>
      </w:r>
      <w:bookmarkStart w:id="0" w:name="_GoBack"/>
      <w:bookmarkEnd w:id="0"/>
    </w:p>
    <w:p w:rsidR="00AB3B38" w:rsidRDefault="00AB3B38" w:rsidP="00AB3B38">
      <w:pPr>
        <w:spacing w:line="360" w:lineRule="auto"/>
        <w:contextualSpacing/>
        <w:jc w:val="both"/>
        <w:rPr>
          <w:rFonts w:ascii="Times New Roman" w:hAnsi="Times New Roman" w:cs="Times New Roman"/>
          <w:sz w:val="24"/>
          <w:szCs w:val="24"/>
        </w:rPr>
      </w:pPr>
    </w:p>
    <w:p w:rsidR="00AB3B38" w:rsidRPr="00AB3B38" w:rsidRDefault="00AB3B38" w:rsidP="00AB3B38">
      <w:pPr>
        <w:spacing w:line="360" w:lineRule="auto"/>
        <w:contextualSpacing/>
        <w:jc w:val="both"/>
        <w:rPr>
          <w:rFonts w:ascii="Times New Roman" w:hAnsi="Times New Roman" w:cs="Times New Roman"/>
          <w:sz w:val="24"/>
          <w:szCs w:val="24"/>
        </w:rPr>
      </w:pPr>
    </w:p>
    <w:p w:rsidR="00576C57" w:rsidRPr="005D36F1" w:rsidRDefault="00576C57" w:rsidP="005D36F1">
      <w:pPr>
        <w:jc w:val="both"/>
        <w:rPr>
          <w:rFonts w:ascii="Times New Roman" w:hAnsi="Times New Roman" w:cs="Times New Roman"/>
          <w:sz w:val="24"/>
          <w:szCs w:val="24"/>
        </w:rPr>
      </w:pPr>
      <w:r w:rsidRPr="005D36F1">
        <w:rPr>
          <w:rFonts w:ascii="Times New Roman" w:hAnsi="Times New Roman" w:cs="Times New Roman"/>
          <w:noProof/>
          <w:sz w:val="24"/>
          <w:szCs w:val="24"/>
        </w:rPr>
        <w:drawing>
          <wp:inline distT="0" distB="0" distL="0" distR="0" wp14:anchorId="6C574DAB" wp14:editId="6C4B93C7">
            <wp:extent cx="5981700" cy="46946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IX and CAXII expression.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88485" cy="4699956"/>
                    </a:xfrm>
                    <a:prstGeom prst="rect">
                      <a:avLst/>
                    </a:prstGeom>
                  </pic:spPr>
                </pic:pic>
              </a:graphicData>
            </a:graphic>
          </wp:inline>
        </w:drawing>
      </w:r>
    </w:p>
    <w:p w:rsidR="008C1906" w:rsidRPr="005D36F1" w:rsidRDefault="00576C57" w:rsidP="005D36F1">
      <w:pPr>
        <w:jc w:val="both"/>
        <w:rPr>
          <w:rFonts w:ascii="Times New Roman" w:hAnsi="Times New Roman" w:cs="Times New Roman"/>
          <w:sz w:val="24"/>
          <w:szCs w:val="24"/>
        </w:rPr>
      </w:pPr>
      <w:proofErr w:type="gramStart"/>
      <w:r w:rsidRPr="005D36F1">
        <w:rPr>
          <w:rFonts w:ascii="Times New Roman" w:hAnsi="Times New Roman" w:cs="Times New Roman"/>
          <w:b/>
          <w:sz w:val="24"/>
          <w:szCs w:val="24"/>
        </w:rPr>
        <w:t>Supplementary Fig.1.</w:t>
      </w:r>
      <w:proofErr w:type="gramEnd"/>
      <w:r w:rsidRPr="005D36F1">
        <w:rPr>
          <w:rFonts w:ascii="Times New Roman" w:hAnsi="Times New Roman" w:cs="Times New Roman"/>
          <w:sz w:val="24"/>
          <w:szCs w:val="24"/>
        </w:rPr>
        <w:t xml:space="preserve"> Flow cytometric profiles illustrating the evaluation of CAIX and CAXII protein levels in NCI-H460, NCI-H460/R, DLD1, DLD1-TxR, U87 and U87-TxR cells </w:t>
      </w:r>
      <w:r w:rsidRPr="005D36F1">
        <w:rPr>
          <w:rFonts w:ascii="Times New Roman" w:hAnsi="Times New Roman" w:cs="Times New Roman"/>
          <w:sz w:val="24"/>
          <w:szCs w:val="24"/>
        </w:rPr>
        <w:lastRenderedPageBreak/>
        <w:t xml:space="preserve">complementary to Fig.2A. Relative CAIX and CAXII expression was determined as relation of fluorescence produced by CAIX and CAXII antibodies to the corresponding background fluorescence produced only by secondary antibody as well as to the </w:t>
      </w:r>
      <w:proofErr w:type="spellStart"/>
      <w:r w:rsidRPr="005D36F1">
        <w:rPr>
          <w:rFonts w:ascii="Times New Roman" w:hAnsi="Times New Roman" w:cs="Times New Roman"/>
          <w:sz w:val="24"/>
          <w:szCs w:val="24"/>
        </w:rPr>
        <w:t>autofluorescence</w:t>
      </w:r>
      <w:proofErr w:type="spellEnd"/>
      <w:r w:rsidRPr="005D36F1">
        <w:rPr>
          <w:rFonts w:ascii="Times New Roman" w:hAnsi="Times New Roman" w:cs="Times New Roman"/>
          <w:sz w:val="24"/>
          <w:szCs w:val="24"/>
        </w:rPr>
        <w:t xml:space="preserve"> specific to each cell type.</w:t>
      </w:r>
      <w:r w:rsidR="0006697D" w:rsidRPr="005D36F1">
        <w:rPr>
          <w:rFonts w:ascii="Times New Roman" w:hAnsi="Times New Roman" w:cs="Times New Roman"/>
          <w:sz w:val="24"/>
          <w:szCs w:val="24"/>
        </w:rPr>
        <w:t xml:space="preserve"> </w:t>
      </w:r>
    </w:p>
    <w:p w:rsidR="005D36F1" w:rsidRDefault="005D36F1" w:rsidP="005D36F1">
      <w:pPr>
        <w:spacing w:before="240"/>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5937662" cy="240056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i new figure.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0490" cy="2401704"/>
                    </a:xfrm>
                    <a:prstGeom prst="rect">
                      <a:avLst/>
                    </a:prstGeom>
                  </pic:spPr>
                </pic:pic>
              </a:graphicData>
            </a:graphic>
          </wp:inline>
        </w:drawing>
      </w:r>
    </w:p>
    <w:p w:rsidR="00DF512F" w:rsidRDefault="005D36F1" w:rsidP="0006697D">
      <w:pPr>
        <w:spacing w:before="240"/>
        <w:jc w:val="both"/>
        <w:rPr>
          <w:rFonts w:ascii="Times New Roman" w:hAnsi="Times New Roman" w:cs="Times New Roman"/>
          <w:sz w:val="24"/>
          <w:szCs w:val="24"/>
        </w:rPr>
      </w:pPr>
      <w:proofErr w:type="gramStart"/>
      <w:r>
        <w:rPr>
          <w:rFonts w:ascii="Times New Roman" w:hAnsi="Times New Roman" w:cs="Times New Roman"/>
          <w:b/>
          <w:sz w:val="24"/>
          <w:szCs w:val="24"/>
        </w:rPr>
        <w:t xml:space="preserve">Supplementary </w:t>
      </w:r>
      <w:r w:rsidRPr="005D36F1">
        <w:rPr>
          <w:rFonts w:ascii="Times New Roman" w:hAnsi="Times New Roman" w:cs="Times New Roman"/>
          <w:b/>
          <w:sz w:val="24"/>
          <w:szCs w:val="24"/>
        </w:rPr>
        <w:t>Fig.2.</w:t>
      </w:r>
      <w:proofErr w:type="gramEnd"/>
      <w:r>
        <w:rPr>
          <w:rFonts w:ascii="Times New Roman" w:hAnsi="Times New Roman" w:cs="Times New Roman"/>
          <w:b/>
          <w:sz w:val="24"/>
          <w:szCs w:val="24"/>
        </w:rPr>
        <w:t xml:space="preserve"> </w:t>
      </w:r>
      <w:proofErr w:type="spellStart"/>
      <w:r>
        <w:rPr>
          <w:rFonts w:ascii="Times New Roman" w:hAnsi="Times New Roman" w:cs="Times New Roman"/>
          <w:sz w:val="24"/>
          <w:szCs w:val="24"/>
        </w:rPr>
        <w:t>Ratiometric</w:t>
      </w:r>
      <w:proofErr w:type="spellEnd"/>
      <w:r>
        <w:rPr>
          <w:rFonts w:ascii="Times New Roman" w:hAnsi="Times New Roman" w:cs="Times New Roman"/>
          <w:sz w:val="24"/>
          <w:szCs w:val="24"/>
        </w:rPr>
        <w:t xml:space="preserve"> flow cytometric analysis (FL1/FL3) of changes in pH caused by 5 </w:t>
      </w:r>
      <w:proofErr w:type="spellStart"/>
      <w:r>
        <w:rPr>
          <w:rFonts w:ascii="Calibri" w:hAnsi="Calibri" w:cs="Times New Roman"/>
          <w:sz w:val="24"/>
          <w:szCs w:val="24"/>
        </w:rPr>
        <w:t>μ</w:t>
      </w:r>
      <w:r>
        <w:rPr>
          <w:rFonts w:ascii="Times New Roman" w:hAnsi="Times New Roman" w:cs="Times New Roman"/>
          <w:sz w:val="24"/>
          <w:szCs w:val="24"/>
        </w:rPr>
        <w:t>M</w:t>
      </w:r>
      <w:proofErr w:type="spellEnd"/>
      <w:r>
        <w:rPr>
          <w:rFonts w:ascii="Times New Roman" w:hAnsi="Times New Roman" w:cs="Times New Roman"/>
          <w:sz w:val="24"/>
          <w:szCs w:val="24"/>
        </w:rPr>
        <w:t xml:space="preserve"> compound </w:t>
      </w:r>
      <w:r w:rsidRPr="00C45B0C">
        <w:rPr>
          <w:rFonts w:ascii="Times New Roman" w:hAnsi="Times New Roman" w:cs="Times New Roman"/>
          <w:b/>
          <w:sz w:val="24"/>
          <w:szCs w:val="24"/>
        </w:rPr>
        <w:t>3</w:t>
      </w:r>
      <w:r w:rsidR="00E9416A">
        <w:rPr>
          <w:rFonts w:ascii="Times New Roman" w:hAnsi="Times New Roman" w:cs="Times New Roman"/>
          <w:sz w:val="24"/>
          <w:szCs w:val="24"/>
        </w:rPr>
        <w:t xml:space="preserve"> in NCI-H460 and NCI-H460/R cells</w:t>
      </w:r>
      <w:r>
        <w:rPr>
          <w:rFonts w:ascii="Times New Roman" w:hAnsi="Times New Roman" w:cs="Times New Roman"/>
          <w:sz w:val="24"/>
          <w:szCs w:val="24"/>
        </w:rPr>
        <w:t xml:space="preserve"> assessed by </w:t>
      </w:r>
      <w:r w:rsidRPr="005D36F1">
        <w:rPr>
          <w:rFonts w:ascii="Times New Roman" w:hAnsi="Times New Roman" w:cs="Times New Roman"/>
          <w:sz w:val="24"/>
          <w:szCs w:val="24"/>
        </w:rPr>
        <w:t>BCECF-AM</w:t>
      </w:r>
      <w:r>
        <w:rPr>
          <w:rFonts w:ascii="Times New Roman" w:hAnsi="Times New Roman" w:cs="Times New Roman"/>
          <w:sz w:val="24"/>
          <w:szCs w:val="24"/>
        </w:rPr>
        <w:t xml:space="preserve">, a </w:t>
      </w:r>
      <w:r w:rsidRPr="005D36F1">
        <w:rPr>
          <w:rFonts w:ascii="Times New Roman" w:hAnsi="Times New Roman" w:cs="Times New Roman"/>
          <w:sz w:val="24"/>
          <w:szCs w:val="24"/>
        </w:rPr>
        <w:t>pH sensitive fluorescent dye,</w:t>
      </w:r>
      <w:r>
        <w:rPr>
          <w:rFonts w:ascii="Times New Roman" w:hAnsi="Times New Roman" w:cs="Times New Roman"/>
          <w:sz w:val="24"/>
          <w:szCs w:val="24"/>
        </w:rPr>
        <w:t xml:space="preserve"> as a complement to Fig.4.</w:t>
      </w:r>
    </w:p>
    <w:p w:rsidR="00EA045E" w:rsidRDefault="00DF512F" w:rsidP="005D36F1">
      <w:pPr>
        <w:spacing w:before="240"/>
        <w:jc w:val="both"/>
        <w:rPr>
          <w:rFonts w:ascii="Times New Roman" w:hAnsi="Times New Roman" w:cs="Times New Roman"/>
          <w:b/>
          <w:sz w:val="24"/>
          <w:szCs w:val="24"/>
        </w:rPr>
      </w:pPr>
      <w:r>
        <w:rPr>
          <w:rFonts w:ascii="Times New Roman" w:hAnsi="Times New Roman" w:cs="Times New Roman"/>
          <w:noProof/>
          <w:sz w:val="24"/>
          <w:szCs w:val="24"/>
        </w:rPr>
        <w:drawing>
          <wp:inline distT="0" distB="0" distL="0" distR="0">
            <wp:extent cx="6140943" cy="2724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o123 accumulation kinetics.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42336" cy="2724768"/>
                    </a:xfrm>
                    <a:prstGeom prst="rect">
                      <a:avLst/>
                    </a:prstGeom>
                  </pic:spPr>
                </pic:pic>
              </a:graphicData>
            </a:graphic>
          </wp:inline>
        </w:drawing>
      </w:r>
    </w:p>
    <w:p w:rsidR="000C2606" w:rsidRDefault="00EA045E" w:rsidP="005D36F1">
      <w:pPr>
        <w:spacing w:before="240"/>
        <w:jc w:val="both"/>
        <w:rPr>
          <w:rFonts w:ascii="Times New Roman" w:hAnsi="Times New Roman" w:cs="Times New Roman"/>
          <w:sz w:val="24"/>
          <w:szCs w:val="24"/>
        </w:rPr>
      </w:pPr>
      <w:proofErr w:type="gramStart"/>
      <w:r w:rsidRPr="00EA045E">
        <w:rPr>
          <w:rFonts w:ascii="Times New Roman" w:hAnsi="Times New Roman" w:cs="Times New Roman"/>
          <w:b/>
          <w:sz w:val="24"/>
          <w:szCs w:val="24"/>
        </w:rPr>
        <w:t>Supplementary Fig.3.</w:t>
      </w:r>
      <w:proofErr w:type="gramEnd"/>
      <w:r>
        <w:rPr>
          <w:rFonts w:ascii="Times New Roman" w:hAnsi="Times New Roman" w:cs="Times New Roman"/>
          <w:sz w:val="24"/>
          <w:szCs w:val="24"/>
        </w:rPr>
        <w:t xml:space="preserve"> Flow cytometric profiles of P-glycoprotein functional inhibition </w:t>
      </w:r>
      <w:r w:rsidR="00E9416A">
        <w:rPr>
          <w:rFonts w:ascii="Times New Roman" w:hAnsi="Times New Roman" w:cs="Times New Roman"/>
          <w:sz w:val="24"/>
          <w:szCs w:val="24"/>
        </w:rPr>
        <w:t xml:space="preserve">in NCI-H460/R cells </w:t>
      </w:r>
      <w:r>
        <w:rPr>
          <w:rFonts w:ascii="Times New Roman" w:hAnsi="Times New Roman" w:cs="Times New Roman"/>
          <w:sz w:val="24"/>
          <w:szCs w:val="24"/>
        </w:rPr>
        <w:t xml:space="preserve">(assessed by Rhodamine 123 accumulation) showing the effects of compound </w:t>
      </w:r>
      <w:r w:rsidRPr="00C45B0C">
        <w:rPr>
          <w:rFonts w:ascii="Times New Roman" w:hAnsi="Times New Roman" w:cs="Times New Roman"/>
          <w:b/>
          <w:sz w:val="24"/>
          <w:szCs w:val="24"/>
        </w:rPr>
        <w:t>3</w:t>
      </w:r>
      <w:r>
        <w:rPr>
          <w:rFonts w:ascii="Times New Roman" w:hAnsi="Times New Roman" w:cs="Times New Roman"/>
          <w:sz w:val="24"/>
          <w:szCs w:val="24"/>
        </w:rPr>
        <w:t xml:space="preserve"> (5 </w:t>
      </w:r>
      <w:proofErr w:type="spellStart"/>
      <w:r>
        <w:rPr>
          <w:rFonts w:ascii="Calibri" w:hAnsi="Calibri" w:cs="Times New Roman"/>
          <w:sz w:val="24"/>
          <w:szCs w:val="24"/>
        </w:rPr>
        <w:t>μ</w:t>
      </w:r>
      <w:r>
        <w:rPr>
          <w:rFonts w:ascii="Times New Roman" w:hAnsi="Times New Roman" w:cs="Times New Roman"/>
          <w:sz w:val="24"/>
          <w:szCs w:val="24"/>
        </w:rPr>
        <w:t>M</w:t>
      </w:r>
      <w:proofErr w:type="spellEnd"/>
      <w:r>
        <w:rPr>
          <w:rFonts w:ascii="Times New Roman" w:hAnsi="Times New Roman" w:cs="Times New Roman"/>
          <w:sz w:val="24"/>
          <w:szCs w:val="24"/>
        </w:rPr>
        <w:t xml:space="preserve">, 10 </w:t>
      </w:r>
      <w:proofErr w:type="spellStart"/>
      <w:r>
        <w:rPr>
          <w:rFonts w:ascii="Calibri" w:hAnsi="Calibri" w:cs="Times New Roman"/>
          <w:sz w:val="24"/>
          <w:szCs w:val="24"/>
        </w:rPr>
        <w:t>μ</w:t>
      </w:r>
      <w:r>
        <w:rPr>
          <w:rFonts w:ascii="Times New Roman" w:hAnsi="Times New Roman" w:cs="Times New Roman"/>
          <w:sz w:val="24"/>
          <w:szCs w:val="24"/>
        </w:rPr>
        <w:t>M</w:t>
      </w:r>
      <w:proofErr w:type="spellEnd"/>
      <w:r>
        <w:rPr>
          <w:rFonts w:ascii="Times New Roman" w:hAnsi="Times New Roman" w:cs="Times New Roman"/>
          <w:sz w:val="24"/>
          <w:szCs w:val="24"/>
        </w:rPr>
        <w:t xml:space="preserve"> and 20 </w:t>
      </w:r>
      <w:proofErr w:type="spellStart"/>
      <w:r>
        <w:rPr>
          <w:rFonts w:ascii="Calibri" w:hAnsi="Calibri" w:cs="Times New Roman"/>
          <w:sz w:val="24"/>
          <w:szCs w:val="24"/>
        </w:rPr>
        <w:t>μ</w:t>
      </w:r>
      <w:r>
        <w:rPr>
          <w:rFonts w:ascii="Times New Roman" w:hAnsi="Times New Roman" w:cs="Times New Roman"/>
          <w:sz w:val="24"/>
          <w:szCs w:val="24"/>
        </w:rPr>
        <w:t>M</w:t>
      </w:r>
      <w:proofErr w:type="spellEnd"/>
      <w:r>
        <w:rPr>
          <w:rFonts w:ascii="Times New Roman" w:hAnsi="Times New Roman" w:cs="Times New Roman"/>
          <w:sz w:val="24"/>
          <w:szCs w:val="24"/>
        </w:rPr>
        <w:t xml:space="preserve">) over time (2 h – 168 h) as a </w:t>
      </w:r>
      <w:r w:rsidR="0057505C">
        <w:rPr>
          <w:rFonts w:ascii="Times New Roman" w:hAnsi="Times New Roman" w:cs="Times New Roman"/>
          <w:sz w:val="24"/>
          <w:szCs w:val="24"/>
        </w:rPr>
        <w:t>supplement</w:t>
      </w:r>
      <w:r>
        <w:rPr>
          <w:rFonts w:ascii="Times New Roman" w:hAnsi="Times New Roman" w:cs="Times New Roman"/>
          <w:sz w:val="24"/>
          <w:szCs w:val="24"/>
        </w:rPr>
        <w:t xml:space="preserve"> </w:t>
      </w:r>
      <w:r w:rsidR="0057505C">
        <w:rPr>
          <w:rFonts w:ascii="Times New Roman" w:hAnsi="Times New Roman" w:cs="Times New Roman"/>
          <w:sz w:val="24"/>
          <w:szCs w:val="24"/>
        </w:rPr>
        <w:t>of</w:t>
      </w:r>
      <w:r>
        <w:rPr>
          <w:rFonts w:ascii="Times New Roman" w:hAnsi="Times New Roman" w:cs="Times New Roman"/>
          <w:sz w:val="24"/>
          <w:szCs w:val="24"/>
        </w:rPr>
        <w:t xml:space="preserve"> Fig. 5A.</w:t>
      </w:r>
    </w:p>
    <w:p w:rsidR="000C2606" w:rsidRDefault="000C2606">
      <w:pPr>
        <w:rPr>
          <w:rFonts w:ascii="Times New Roman" w:hAnsi="Times New Roman" w:cs="Times New Roman"/>
          <w:sz w:val="24"/>
          <w:szCs w:val="24"/>
        </w:rPr>
      </w:pPr>
      <w:r>
        <w:rPr>
          <w:rFonts w:ascii="Times New Roman" w:hAnsi="Times New Roman" w:cs="Times New Roman"/>
          <w:sz w:val="24"/>
          <w:szCs w:val="24"/>
        </w:rPr>
        <w:br w:type="page"/>
      </w:r>
    </w:p>
    <w:p w:rsidR="000C2606" w:rsidRDefault="000C2606" w:rsidP="005D36F1">
      <w:pPr>
        <w:spacing w:before="24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72175" cy="29597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gp expression recovery.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66913" cy="2957147"/>
                    </a:xfrm>
                    <a:prstGeom prst="rect">
                      <a:avLst/>
                    </a:prstGeom>
                  </pic:spPr>
                </pic:pic>
              </a:graphicData>
            </a:graphic>
          </wp:inline>
        </w:drawing>
      </w:r>
    </w:p>
    <w:p w:rsidR="008F227A" w:rsidRDefault="000C2606" w:rsidP="005D36F1">
      <w:pPr>
        <w:spacing w:before="240"/>
        <w:jc w:val="both"/>
        <w:rPr>
          <w:rFonts w:ascii="Times New Roman" w:hAnsi="Times New Roman" w:cs="Times New Roman"/>
          <w:sz w:val="24"/>
          <w:szCs w:val="24"/>
        </w:rPr>
      </w:pPr>
      <w:proofErr w:type="gramStart"/>
      <w:r w:rsidRPr="000C2606">
        <w:rPr>
          <w:rFonts w:ascii="Times New Roman" w:hAnsi="Times New Roman" w:cs="Times New Roman"/>
          <w:b/>
          <w:sz w:val="24"/>
          <w:szCs w:val="24"/>
        </w:rPr>
        <w:t>Supplementary Fig.4.</w:t>
      </w:r>
      <w:proofErr w:type="gramEnd"/>
      <w:r w:rsidRPr="000C2606">
        <w:rPr>
          <w:rFonts w:ascii="Times New Roman" w:hAnsi="Times New Roman" w:cs="Times New Roman"/>
          <w:b/>
          <w:sz w:val="24"/>
          <w:szCs w:val="24"/>
        </w:rPr>
        <w:t xml:space="preserve"> </w:t>
      </w:r>
      <w:r w:rsidR="00E9416A">
        <w:rPr>
          <w:rFonts w:ascii="Times New Roman" w:hAnsi="Times New Roman" w:cs="Times New Roman"/>
          <w:sz w:val="24"/>
          <w:szCs w:val="24"/>
        </w:rPr>
        <w:t xml:space="preserve">Flow cytometric profiles of P-glycoprotein expression in NCI-H460/R cells after </w:t>
      </w:r>
      <w:r w:rsidR="00B867CA">
        <w:rPr>
          <w:rFonts w:ascii="Times New Roman" w:hAnsi="Times New Roman" w:cs="Times New Roman"/>
          <w:sz w:val="24"/>
          <w:szCs w:val="24"/>
        </w:rPr>
        <w:t xml:space="preserve">treatment with </w:t>
      </w:r>
      <w:r w:rsidR="00E9416A">
        <w:rPr>
          <w:rFonts w:ascii="Times New Roman" w:hAnsi="Times New Roman" w:cs="Times New Roman"/>
          <w:sz w:val="24"/>
          <w:szCs w:val="24"/>
        </w:rPr>
        <w:t xml:space="preserve">5 </w:t>
      </w:r>
      <w:proofErr w:type="spellStart"/>
      <w:r w:rsidR="00E9416A">
        <w:rPr>
          <w:rFonts w:ascii="Calibri" w:hAnsi="Calibri" w:cs="Times New Roman"/>
          <w:sz w:val="24"/>
          <w:szCs w:val="24"/>
        </w:rPr>
        <w:t>μ</w:t>
      </w:r>
      <w:r w:rsidR="00E9416A">
        <w:rPr>
          <w:rFonts w:ascii="Times New Roman" w:hAnsi="Times New Roman" w:cs="Times New Roman"/>
          <w:sz w:val="24"/>
          <w:szCs w:val="24"/>
        </w:rPr>
        <w:t>M</w:t>
      </w:r>
      <w:proofErr w:type="spellEnd"/>
      <w:r w:rsidR="00E9416A">
        <w:rPr>
          <w:rFonts w:ascii="Times New Roman" w:hAnsi="Times New Roman" w:cs="Times New Roman"/>
          <w:sz w:val="24"/>
          <w:szCs w:val="24"/>
        </w:rPr>
        <w:t xml:space="preserve"> compound </w:t>
      </w:r>
      <w:r w:rsidR="00E9416A" w:rsidRPr="00C45B0C">
        <w:rPr>
          <w:rFonts w:ascii="Times New Roman" w:hAnsi="Times New Roman" w:cs="Times New Roman"/>
          <w:b/>
          <w:sz w:val="24"/>
          <w:szCs w:val="24"/>
        </w:rPr>
        <w:t>3</w:t>
      </w:r>
      <w:r w:rsidR="00E9416A">
        <w:rPr>
          <w:rFonts w:ascii="Times New Roman" w:hAnsi="Times New Roman" w:cs="Times New Roman"/>
          <w:sz w:val="24"/>
          <w:szCs w:val="24"/>
        </w:rPr>
        <w:t xml:space="preserve"> showing the increase of the expression over time (24 h – 96 h) as well as a decrease of P-glycoprotein expression to the control level when cells were treated 48 h and then</w:t>
      </w:r>
      <w:r w:rsidR="00B867CA">
        <w:rPr>
          <w:rFonts w:ascii="Times New Roman" w:hAnsi="Times New Roman" w:cs="Times New Roman"/>
          <w:sz w:val="24"/>
          <w:szCs w:val="24"/>
        </w:rPr>
        <w:t xml:space="preserve"> recovered from treatment in next 48 h. Histograms correspond to the results shown in Fig.5C.</w:t>
      </w:r>
    </w:p>
    <w:p w:rsidR="008F227A" w:rsidRDefault="008F227A">
      <w:pPr>
        <w:rPr>
          <w:rFonts w:ascii="Times New Roman" w:hAnsi="Times New Roman" w:cs="Times New Roman"/>
          <w:sz w:val="24"/>
          <w:szCs w:val="24"/>
        </w:rPr>
      </w:pPr>
      <w:r>
        <w:rPr>
          <w:rFonts w:ascii="Times New Roman" w:hAnsi="Times New Roman" w:cs="Times New Roman"/>
          <w:sz w:val="24"/>
          <w:szCs w:val="24"/>
        </w:rPr>
        <w:br w:type="page"/>
      </w:r>
    </w:p>
    <w:p w:rsidR="00D9446C" w:rsidRPr="00E9416A" w:rsidRDefault="008F227A" w:rsidP="005D36F1">
      <w:pPr>
        <w:spacing w:before="240"/>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943600" cy="5033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X reversion.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5033010"/>
                    </a:xfrm>
                    <a:prstGeom prst="rect">
                      <a:avLst/>
                    </a:prstGeom>
                  </pic:spPr>
                </pic:pic>
              </a:graphicData>
            </a:graphic>
          </wp:inline>
        </w:drawing>
      </w:r>
      <w:proofErr w:type="gramStart"/>
      <w:r w:rsidRPr="008F227A">
        <w:rPr>
          <w:rFonts w:ascii="Times New Roman" w:hAnsi="Times New Roman" w:cs="Times New Roman"/>
          <w:b/>
          <w:sz w:val="24"/>
          <w:szCs w:val="24"/>
        </w:rPr>
        <w:t>Supplementary Fig.5.</w:t>
      </w:r>
      <w:proofErr w:type="gramEnd"/>
      <w:r>
        <w:rPr>
          <w:rFonts w:ascii="Times New Roman" w:hAnsi="Times New Roman" w:cs="Times New Roman"/>
          <w:sz w:val="24"/>
          <w:szCs w:val="24"/>
        </w:rPr>
        <w:t xml:space="preserve"> </w:t>
      </w:r>
      <w:r w:rsidRPr="008F227A">
        <w:rPr>
          <w:rFonts w:ascii="Times New Roman" w:hAnsi="Times New Roman" w:cs="Times New Roman"/>
          <w:sz w:val="24"/>
          <w:szCs w:val="24"/>
        </w:rPr>
        <w:t xml:space="preserve">Compound </w:t>
      </w:r>
      <w:r w:rsidRPr="00C45B0C">
        <w:rPr>
          <w:rFonts w:ascii="Times New Roman" w:hAnsi="Times New Roman" w:cs="Times New Roman"/>
          <w:b/>
          <w:sz w:val="24"/>
          <w:szCs w:val="24"/>
        </w:rPr>
        <w:t>3</w:t>
      </w:r>
      <w:r w:rsidRPr="008F227A">
        <w:rPr>
          <w:rFonts w:ascii="Times New Roman" w:hAnsi="Times New Roman" w:cs="Times New Roman"/>
          <w:sz w:val="24"/>
          <w:szCs w:val="24"/>
        </w:rPr>
        <w:t xml:space="preserve"> enhances the sensitivity of NCI-H460/R cells to </w:t>
      </w:r>
      <w:r>
        <w:rPr>
          <w:rFonts w:ascii="Times New Roman" w:hAnsi="Times New Roman" w:cs="Times New Roman"/>
          <w:sz w:val="24"/>
          <w:szCs w:val="24"/>
        </w:rPr>
        <w:t>paclitaxel</w:t>
      </w:r>
      <w:r w:rsidRPr="008F227A">
        <w:rPr>
          <w:rFonts w:ascii="Times New Roman" w:hAnsi="Times New Roman" w:cs="Times New Roman"/>
          <w:sz w:val="24"/>
          <w:szCs w:val="24"/>
        </w:rPr>
        <w:t xml:space="preserve">. The effects of the simultaneous combinations of compound </w:t>
      </w:r>
      <w:r w:rsidRPr="00C45B0C">
        <w:rPr>
          <w:rFonts w:ascii="Times New Roman" w:hAnsi="Times New Roman" w:cs="Times New Roman"/>
          <w:b/>
          <w:sz w:val="24"/>
          <w:szCs w:val="24"/>
        </w:rPr>
        <w:t>3</w:t>
      </w:r>
      <w:r w:rsidRPr="008F227A">
        <w:rPr>
          <w:rFonts w:ascii="Times New Roman" w:hAnsi="Times New Roman" w:cs="Times New Roman"/>
          <w:sz w:val="24"/>
          <w:szCs w:val="24"/>
        </w:rPr>
        <w:t xml:space="preserve"> with </w:t>
      </w:r>
      <w:r>
        <w:rPr>
          <w:rFonts w:ascii="Times New Roman" w:hAnsi="Times New Roman" w:cs="Times New Roman"/>
          <w:sz w:val="24"/>
          <w:szCs w:val="24"/>
        </w:rPr>
        <w:t>paclitaxel</w:t>
      </w:r>
      <w:r w:rsidRPr="008F227A">
        <w:rPr>
          <w:rFonts w:ascii="Times New Roman" w:hAnsi="Times New Roman" w:cs="Times New Roman"/>
          <w:sz w:val="24"/>
          <w:szCs w:val="24"/>
        </w:rPr>
        <w:t xml:space="preserve"> on NCI-H460/R cell growth assessed after (A) 48 h and (C) 96 h. Relative reversal of </w:t>
      </w:r>
      <w:r>
        <w:rPr>
          <w:rFonts w:ascii="Times New Roman" w:hAnsi="Times New Roman" w:cs="Times New Roman"/>
          <w:sz w:val="24"/>
          <w:szCs w:val="24"/>
        </w:rPr>
        <w:t>paclitaxel</w:t>
      </w:r>
      <w:r w:rsidRPr="008F227A">
        <w:rPr>
          <w:rFonts w:ascii="Times New Roman" w:hAnsi="Times New Roman" w:cs="Times New Roman"/>
          <w:sz w:val="24"/>
          <w:szCs w:val="24"/>
        </w:rPr>
        <w:t xml:space="preserve"> resistance in combinations with sub-inhibitory concentrations of 3 after (B) 48 h and (D) 96 h.</w:t>
      </w:r>
    </w:p>
    <w:sectPr w:rsidR="00D9446C" w:rsidRPr="00E941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C57"/>
    <w:rsid w:val="0006697D"/>
    <w:rsid w:val="000C2606"/>
    <w:rsid w:val="004E4A95"/>
    <w:rsid w:val="0057505C"/>
    <w:rsid w:val="00576C57"/>
    <w:rsid w:val="005D36F1"/>
    <w:rsid w:val="008C1906"/>
    <w:rsid w:val="008F227A"/>
    <w:rsid w:val="00942418"/>
    <w:rsid w:val="00AB3B38"/>
    <w:rsid w:val="00B867CA"/>
    <w:rsid w:val="00C45B0C"/>
    <w:rsid w:val="00D9446C"/>
    <w:rsid w:val="00DF512F"/>
    <w:rsid w:val="00E9416A"/>
    <w:rsid w:val="00EA0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6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C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6C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C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3.tif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tiff"/><Relationship Id="rId11" Type="http://schemas.openxmlformats.org/officeDocument/2006/relationships/theme" Target="theme/theme1.xml"/><Relationship Id="rId5" Type="http://schemas.openxmlformats.org/officeDocument/2006/relationships/image" Target="media/image1.tif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Milica</dc:creator>
  <cp:lastModifiedBy>Milica</cp:lastModifiedBy>
  <cp:revision>11</cp:revision>
  <dcterms:created xsi:type="dcterms:W3CDTF">2019-06-09T17:48:00Z</dcterms:created>
  <dcterms:modified xsi:type="dcterms:W3CDTF">2019-06-10T16:48:00Z</dcterms:modified>
</cp:coreProperties>
</file>