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A3279" w:rsidRPr="000653DC" w:rsidRDefault="008A3279" w:rsidP="002F3749">
      <w:pPr>
        <w:autoSpaceDE w:val="0"/>
        <w:autoSpaceDN w:val="0"/>
        <w:adjustRightInd w:val="0"/>
        <w:spacing w:after="0" w:line="240" w:lineRule="auto"/>
        <w:jc w:val="center"/>
        <w:rPr>
          <w:rFonts w:ascii="Times New Roman" w:hAnsi="Times New Roman" w:cs="Times New Roman"/>
          <w:b/>
          <w:bCs/>
          <w:caps/>
          <w:sz w:val="28"/>
          <w:szCs w:val="28"/>
          <w:lang w:val="en-US" w:eastAsia="ru-RU"/>
        </w:rPr>
      </w:pPr>
      <w:r w:rsidRPr="000653DC">
        <w:rPr>
          <w:rFonts w:ascii="Times New Roman" w:hAnsi="Times New Roman" w:cs="Times New Roman"/>
          <w:b/>
          <w:bCs/>
          <w:caps/>
          <w:sz w:val="28"/>
          <w:szCs w:val="28"/>
          <w:lang w:val="en-US" w:eastAsia="ru-RU"/>
        </w:rPr>
        <w:t xml:space="preserve">Corporate Financial Strength Sustainability Post </w:t>
      </w:r>
      <w:smartTag w:uri="urn:schemas-microsoft-com:office:smarttags" w:element="place">
        <w:r w:rsidRPr="000653DC">
          <w:rPr>
            <w:rFonts w:ascii="Times New Roman" w:hAnsi="Times New Roman" w:cs="Times New Roman"/>
            <w:b/>
            <w:bCs/>
            <w:caps/>
            <w:sz w:val="28"/>
            <w:szCs w:val="28"/>
            <w:lang w:val="en-US" w:eastAsia="ru-RU"/>
          </w:rPr>
          <w:t>PO</w:t>
        </w:r>
      </w:smartTag>
      <w:r w:rsidRPr="000653DC">
        <w:rPr>
          <w:rFonts w:ascii="Times New Roman" w:hAnsi="Times New Roman" w:cs="Times New Roman"/>
          <w:b/>
          <w:bCs/>
          <w:caps/>
          <w:sz w:val="28"/>
          <w:szCs w:val="28"/>
          <w:lang w:val="en-US" w:eastAsia="ru-RU"/>
        </w:rPr>
        <w:t xml:space="preserve">: </w:t>
      </w:r>
    </w:p>
    <w:p w:rsidR="008A3279" w:rsidRPr="000653DC" w:rsidRDefault="008A3279" w:rsidP="000653DC">
      <w:pPr>
        <w:autoSpaceDE w:val="0"/>
        <w:autoSpaceDN w:val="0"/>
        <w:adjustRightInd w:val="0"/>
        <w:spacing w:after="240" w:line="240" w:lineRule="auto"/>
        <w:jc w:val="center"/>
        <w:rPr>
          <w:rFonts w:ascii="Times New Roman" w:hAnsi="Times New Roman" w:cs="Times New Roman"/>
          <w:b/>
          <w:bCs/>
          <w:caps/>
          <w:sz w:val="28"/>
          <w:szCs w:val="28"/>
          <w:lang w:val="lv-LV" w:eastAsia="ru-RU"/>
        </w:rPr>
      </w:pPr>
      <w:r w:rsidRPr="000653DC">
        <w:rPr>
          <w:rFonts w:ascii="Times New Roman" w:hAnsi="Times New Roman" w:cs="Times New Roman"/>
          <w:b/>
          <w:bCs/>
          <w:caps/>
          <w:sz w:val="28"/>
          <w:szCs w:val="28"/>
          <w:lang w:val="en-US" w:eastAsia="ru-RU"/>
        </w:rPr>
        <w:t>Evidence from Baltic Equity Market</w:t>
      </w:r>
    </w:p>
    <w:p w:rsidR="008A3279" w:rsidRPr="000653DC" w:rsidRDefault="008A3279" w:rsidP="00726C3D">
      <w:pPr>
        <w:spacing w:before="240" w:after="240" w:line="240" w:lineRule="auto"/>
        <w:jc w:val="center"/>
        <w:rPr>
          <w:rFonts w:ascii="Times New Roman" w:hAnsi="Times New Roman" w:cs="Times New Roman"/>
          <w:b/>
          <w:sz w:val="24"/>
          <w:szCs w:val="24"/>
          <w:lang w:val="en-US" w:eastAsia="ru-RU"/>
        </w:rPr>
      </w:pPr>
      <w:r w:rsidRPr="000653DC">
        <w:rPr>
          <w:rFonts w:ascii="Times New Roman" w:hAnsi="Times New Roman" w:cs="Times New Roman"/>
          <w:b/>
          <w:sz w:val="24"/>
          <w:szCs w:val="24"/>
          <w:lang w:val="en-US" w:eastAsia="ru-RU"/>
        </w:rPr>
        <w:t>Abstract</w:t>
      </w:r>
    </w:p>
    <w:p w:rsidR="008A3279" w:rsidRDefault="008A3279" w:rsidP="00972291">
      <w:pPr>
        <w:spacing w:after="0" w:line="240" w:lineRule="auto"/>
        <w:ind w:firstLine="567"/>
        <w:jc w:val="both"/>
        <w:rPr>
          <w:rFonts w:ascii="Times New Roman" w:hAnsi="Times New Roman" w:cs="Times New Roman"/>
          <w:lang w:val="en-US" w:eastAsia="ru-RU"/>
        </w:rPr>
      </w:pPr>
      <w:r>
        <w:rPr>
          <w:rFonts w:ascii="Times New Roman" w:hAnsi="Times New Roman" w:cs="Times New Roman"/>
          <w:lang w:val="en-US" w:eastAsia="ru-RU"/>
        </w:rPr>
        <w:t xml:space="preserve">When providing financing in the IPO or </w:t>
      </w:r>
      <w:smartTag w:uri="urn:schemas-microsoft-com:office:smarttags" w:element="place">
        <w:r>
          <w:rPr>
            <w:rFonts w:ascii="Times New Roman" w:hAnsi="Times New Roman" w:cs="Times New Roman"/>
            <w:lang w:val="en-US" w:eastAsia="ru-RU"/>
          </w:rPr>
          <w:t>PO</w:t>
        </w:r>
      </w:smartTag>
      <w:r>
        <w:rPr>
          <w:rFonts w:ascii="Times New Roman" w:hAnsi="Times New Roman" w:cs="Times New Roman"/>
          <w:lang w:val="en-US" w:eastAsia="ru-RU"/>
        </w:rPr>
        <w:t xml:space="preserve"> process investors hope to receive fair return on their investment. As a rule companies are supposed to leverage their growth on the significant portion of cash received. In most cases companies raise capital in order to attract money for significant development projects: acquisitions, capacity expansion, geographical span expansion. Sometimes, however, the main reason for public offering is that the owner wants to sell its stake at the highest possible price, which is very probable on the public market.</w:t>
      </w:r>
    </w:p>
    <w:p w:rsidR="008A3279" w:rsidRDefault="008A3279" w:rsidP="00B14BF2">
      <w:pPr>
        <w:spacing w:after="0" w:line="240" w:lineRule="auto"/>
        <w:ind w:firstLine="567"/>
        <w:jc w:val="both"/>
        <w:rPr>
          <w:rFonts w:ascii="Times New Roman" w:hAnsi="Times New Roman" w:cs="Times New Roman"/>
          <w:lang w:val="en-US" w:eastAsia="ru-RU"/>
        </w:rPr>
      </w:pPr>
      <w:r>
        <w:rPr>
          <w:rFonts w:ascii="Times New Roman" w:hAnsi="Times New Roman" w:cs="Times New Roman"/>
          <w:lang w:val="en-US" w:eastAsia="ru-RU"/>
        </w:rPr>
        <w:t>The question arises, however, whether the companies are able to sustain their quality of financial figures also after the IPO. The intuition hints that the companies, having larger capital base at their disposal, are able to grow further, to demonstrate good profitability level, to have less debt on the accounts. But the majority of global empirical studies prove that operating performance of IPOs tends to deteriorate. The evidence comes both from developed and developing equity markets: Jain and Kini (1997</w:t>
      </w:r>
      <w:r w:rsidRPr="008227ED">
        <w:rPr>
          <w:rFonts w:ascii="Times New Roman" w:hAnsi="Times New Roman" w:cs="Times New Roman"/>
          <w:lang w:val="en-US" w:eastAsia="ru-RU"/>
        </w:rPr>
        <w:t xml:space="preserve">), </w:t>
      </w:r>
      <w:r>
        <w:rPr>
          <w:rFonts w:ascii="Times New Roman" w:hAnsi="Times New Roman" w:cs="Times New Roman"/>
          <w:lang w:val="en-US" w:eastAsia="ru-RU"/>
        </w:rPr>
        <w:t xml:space="preserve">Loughran and Ritter (1996), and </w:t>
      </w:r>
      <w:r w:rsidRPr="008227ED">
        <w:rPr>
          <w:rFonts w:ascii="Times New Roman" w:hAnsi="Times New Roman" w:cs="Times New Roman"/>
          <w:lang w:val="en-US" w:eastAsia="ru-RU"/>
        </w:rPr>
        <w:t xml:space="preserve">Teoh et al. (1998) for </w:t>
      </w:r>
      <w:smartTag w:uri="urn:schemas-microsoft-com:office:smarttags" w:element="country-region">
        <w:r w:rsidRPr="008227ED">
          <w:rPr>
            <w:rFonts w:ascii="Times New Roman" w:hAnsi="Times New Roman" w:cs="Times New Roman"/>
            <w:lang w:val="en-US" w:eastAsia="ru-RU"/>
          </w:rPr>
          <w:t>USA</w:t>
        </w:r>
      </w:smartTag>
      <w:r w:rsidRPr="008227ED">
        <w:rPr>
          <w:rFonts w:ascii="Times New Roman" w:hAnsi="Times New Roman" w:cs="Times New Roman"/>
          <w:lang w:val="en-US" w:eastAsia="ru-RU"/>
        </w:rPr>
        <w:t>;</w:t>
      </w:r>
      <w:r>
        <w:rPr>
          <w:rFonts w:ascii="Times New Roman" w:hAnsi="Times New Roman" w:cs="Times New Roman"/>
          <w:lang w:val="en-US" w:eastAsia="ru-RU"/>
        </w:rPr>
        <w:t xml:space="preserve"> </w:t>
      </w:r>
      <w:r w:rsidRPr="008227ED">
        <w:rPr>
          <w:rFonts w:ascii="Times New Roman" w:hAnsi="Times New Roman" w:cs="Times New Roman"/>
          <w:lang w:val="en-US" w:eastAsia="ru-RU"/>
        </w:rPr>
        <w:t>Coakley et al. (20</w:t>
      </w:r>
      <w:r>
        <w:rPr>
          <w:rFonts w:ascii="Times New Roman" w:hAnsi="Times New Roman" w:cs="Times New Roman"/>
          <w:lang w:val="en-US" w:eastAsia="ru-RU"/>
        </w:rPr>
        <w:t xml:space="preserve">04) for the </w:t>
      </w:r>
      <w:smartTag w:uri="urn:schemas-microsoft-com:office:smarttags" w:element="country-region">
        <w:r>
          <w:rPr>
            <w:rFonts w:ascii="Times New Roman" w:hAnsi="Times New Roman" w:cs="Times New Roman"/>
            <w:lang w:val="en-US" w:eastAsia="ru-RU"/>
          </w:rPr>
          <w:t>UK</w:t>
        </w:r>
      </w:smartTag>
      <w:r>
        <w:rPr>
          <w:rFonts w:ascii="Times New Roman" w:hAnsi="Times New Roman" w:cs="Times New Roman"/>
          <w:lang w:val="en-US" w:eastAsia="ru-RU"/>
        </w:rPr>
        <w:t xml:space="preserve">; Kai and Loughran (1998) for </w:t>
      </w:r>
      <w:smartTag w:uri="urn:schemas-microsoft-com:office:smarttags" w:element="country-region">
        <w:r>
          <w:rPr>
            <w:rFonts w:ascii="Times New Roman" w:hAnsi="Times New Roman" w:cs="Times New Roman"/>
            <w:lang w:val="en-US" w:eastAsia="ru-RU"/>
          </w:rPr>
          <w:t>Japan</w:t>
        </w:r>
      </w:smartTag>
      <w:r>
        <w:rPr>
          <w:rFonts w:ascii="Times New Roman" w:hAnsi="Times New Roman" w:cs="Times New Roman"/>
          <w:lang w:val="en-US" w:eastAsia="ru-RU"/>
        </w:rPr>
        <w:t xml:space="preserve">; Wang (2005) for </w:t>
      </w:r>
      <w:smartTag w:uri="urn:schemas-microsoft-com:office:smarttags" w:element="country-region">
        <w:r w:rsidRPr="008227ED">
          <w:rPr>
            <w:rFonts w:ascii="Times New Roman" w:hAnsi="Times New Roman" w:cs="Times New Roman"/>
            <w:lang w:val="en-US" w:eastAsia="ru-RU"/>
          </w:rPr>
          <w:t>China</w:t>
        </w:r>
      </w:smartTag>
      <w:r w:rsidRPr="008227ED">
        <w:rPr>
          <w:rFonts w:ascii="Times New Roman" w:hAnsi="Times New Roman" w:cs="Times New Roman"/>
          <w:lang w:val="en-US" w:eastAsia="ru-RU"/>
        </w:rPr>
        <w:t xml:space="preserve">; </w:t>
      </w:r>
      <w:r>
        <w:rPr>
          <w:rFonts w:ascii="Times New Roman" w:hAnsi="Times New Roman" w:cs="Times New Roman"/>
          <w:lang w:val="en-US" w:eastAsia="ru-RU"/>
        </w:rPr>
        <w:t xml:space="preserve">Kurtaran and Er for </w:t>
      </w:r>
      <w:smartTag w:uri="urn:schemas-microsoft-com:office:smarttags" w:element="place">
        <w:smartTag w:uri="urn:schemas-microsoft-com:office:smarttags" w:element="country-region">
          <w:r>
            <w:rPr>
              <w:rFonts w:ascii="Times New Roman" w:hAnsi="Times New Roman" w:cs="Times New Roman"/>
              <w:lang w:val="en-US" w:eastAsia="ru-RU"/>
            </w:rPr>
            <w:t>Turkey</w:t>
          </w:r>
        </w:smartTag>
      </w:smartTag>
      <w:r>
        <w:rPr>
          <w:rFonts w:ascii="Times New Roman" w:hAnsi="Times New Roman" w:cs="Times New Roman"/>
          <w:lang w:val="en-US" w:eastAsia="ru-RU"/>
        </w:rPr>
        <w:t xml:space="preserve"> (2008). The possible explanation for that are increased agency costs as ownership structure changes significantly due to public offering. Besides, the management faces temptation to use creative accounting practices in the prior IPO period for the company to look as attractive as possible.</w:t>
      </w:r>
    </w:p>
    <w:p w:rsidR="008A3279" w:rsidRDefault="008A3279" w:rsidP="00B14BF2">
      <w:pPr>
        <w:spacing w:after="0" w:line="240" w:lineRule="auto"/>
        <w:ind w:firstLine="567"/>
        <w:jc w:val="both"/>
        <w:rPr>
          <w:rFonts w:ascii="Times New Roman" w:hAnsi="Times New Roman" w:cs="Times New Roman"/>
          <w:lang w:val="en-US" w:eastAsia="ru-RU"/>
        </w:rPr>
      </w:pPr>
      <w:r>
        <w:rPr>
          <w:rFonts w:ascii="Times New Roman" w:hAnsi="Times New Roman" w:cs="Times New Roman"/>
          <w:lang w:val="en-US" w:eastAsia="ru-RU"/>
        </w:rPr>
        <w:t>Thus, the authors propose the hypothesis that public Baltic companies are not able to sustain the quality of financials after the public offering. The main objective of research, therefore, is to conduct thorough financial analysis before and after the company becomes public and find out whether the quality of the company is maintained after the change in shareholder structure and access to large capital inflows.</w:t>
      </w:r>
    </w:p>
    <w:p w:rsidR="008A3279" w:rsidRDefault="008A3279" w:rsidP="00B14BF2">
      <w:pPr>
        <w:spacing w:after="0" w:line="240" w:lineRule="auto"/>
        <w:ind w:firstLine="567"/>
        <w:jc w:val="both"/>
        <w:rPr>
          <w:rFonts w:ascii="Times New Roman" w:hAnsi="Times New Roman" w:cs="Times New Roman"/>
          <w:lang w:val="en-US" w:eastAsia="ru-RU"/>
        </w:rPr>
      </w:pPr>
      <w:r>
        <w:rPr>
          <w:rFonts w:ascii="Times New Roman" w:hAnsi="Times New Roman" w:cs="Times New Roman"/>
          <w:lang w:val="en-US" w:eastAsia="ru-RU"/>
        </w:rPr>
        <w:t xml:space="preserve">The present study analyzes 13 cases of IPO and </w:t>
      </w:r>
      <w:smartTag w:uri="urn:schemas-microsoft-com:office:smarttags" w:element="place">
        <w:r>
          <w:rPr>
            <w:rFonts w:ascii="Times New Roman" w:hAnsi="Times New Roman" w:cs="Times New Roman"/>
            <w:lang w:val="en-US" w:eastAsia="ru-RU"/>
          </w:rPr>
          <w:t>PO</w:t>
        </w:r>
      </w:smartTag>
      <w:r>
        <w:rPr>
          <w:rFonts w:ascii="Times New Roman" w:hAnsi="Times New Roman" w:cs="Times New Roman"/>
          <w:lang w:val="en-US" w:eastAsia="ru-RU"/>
        </w:rPr>
        <w:t xml:space="preserve"> which took place on the Baltic stock market from FY 2004 till FY 2008. Prior public offerings are not considered as they were mainly realized for privatization purposes, therefore raising capital was not the primary goal. Quality of corporate financials is assessed one year before and three years after the public offering. The data for the research needs were extracted mainly from the online resources provided by Nasdaq OMX stock exchange as well as corporate web-sites.</w:t>
      </w:r>
    </w:p>
    <w:p w:rsidR="008A3279" w:rsidRDefault="008A3279" w:rsidP="00B14BF2">
      <w:pPr>
        <w:spacing w:after="0" w:line="240" w:lineRule="auto"/>
        <w:ind w:firstLine="567"/>
        <w:jc w:val="both"/>
        <w:rPr>
          <w:rFonts w:ascii="Times New Roman" w:hAnsi="Times New Roman" w:cs="Times New Roman"/>
          <w:lang w:val="en-US" w:eastAsia="ru-RU"/>
        </w:rPr>
      </w:pPr>
      <w:r>
        <w:rPr>
          <w:rFonts w:ascii="Times New Roman" w:hAnsi="Times New Roman" w:cs="Times New Roman"/>
          <w:lang w:val="en-US" w:eastAsia="ru-RU"/>
        </w:rPr>
        <w:t>The basic set of fundamental ratios is employed in order evaluate the quality of corporate financials, which includes five groups of ratios: profitability, liquidity, solvency, activity and market ratios. Special attention is also paid to the dividend payment</w:t>
      </w:r>
      <w:bookmarkStart w:id="0" w:name="_GoBack"/>
      <w:bookmarkEnd w:id="0"/>
      <w:r>
        <w:rPr>
          <w:rFonts w:ascii="Times New Roman" w:hAnsi="Times New Roman" w:cs="Times New Roman"/>
          <w:lang w:val="en-US" w:eastAsia="ru-RU"/>
        </w:rPr>
        <w:t>s and how the companies reward their shareholders. Authors understand the risk of creative accounting before the IPO process so earnings plausibility is done additionally, by checking level of accrual ratios, comparing operating cash flow to net income and detecting earnings manipulation techniques.</w:t>
      </w:r>
    </w:p>
    <w:p w:rsidR="008A3279" w:rsidRDefault="008A3279" w:rsidP="00B14BF2">
      <w:pPr>
        <w:spacing w:after="0" w:line="240" w:lineRule="auto"/>
        <w:ind w:firstLine="567"/>
        <w:jc w:val="both"/>
        <w:rPr>
          <w:rFonts w:ascii="Times New Roman" w:hAnsi="Times New Roman" w:cs="Times New Roman"/>
          <w:lang w:val="en-US" w:eastAsia="ru-RU"/>
        </w:rPr>
      </w:pPr>
      <w:r>
        <w:rPr>
          <w:rFonts w:ascii="Times New Roman" w:hAnsi="Times New Roman" w:cs="Times New Roman"/>
          <w:lang w:val="en-US" w:eastAsia="ru-RU"/>
        </w:rPr>
        <w:t>Study results show that, indeed, after the company becomes public, its management, perhaps, has less motivation to make the company an attractive investment target also in the future. For example, profitability significantly rises in the next year after IPO, while there is significant downward deviation of profitability figures in the third year after IPO compared to the profitability of the company before making public offering. Solvency ratios do not provide consistent picture as equity ratio in most cases has an upward trend, while the opposite is observed with net debt.</w:t>
      </w:r>
    </w:p>
    <w:p w:rsidR="008A3279" w:rsidRDefault="008A3279" w:rsidP="000653DC">
      <w:pPr>
        <w:autoSpaceDE w:val="0"/>
        <w:autoSpaceDN w:val="0"/>
        <w:adjustRightInd w:val="0"/>
        <w:spacing w:after="0" w:line="240" w:lineRule="auto"/>
        <w:ind w:firstLine="567"/>
        <w:jc w:val="both"/>
        <w:rPr>
          <w:rFonts w:ascii="Times New Roman" w:hAnsi="Times New Roman" w:cs="Times New Roman"/>
          <w:lang w:val="en-US" w:eastAsia="ar-SA"/>
        </w:rPr>
      </w:pPr>
      <w:r w:rsidRPr="008F1B40">
        <w:rPr>
          <w:rFonts w:ascii="Times New Roman" w:hAnsi="Times New Roman" w:cs="Times New Roman"/>
          <w:i/>
          <w:iCs/>
          <w:lang w:val="en-US" w:eastAsia="ar-SA"/>
        </w:rPr>
        <w:t>Keywords:</w:t>
      </w:r>
      <w:r>
        <w:rPr>
          <w:rFonts w:ascii="Times New Roman" w:hAnsi="Times New Roman" w:cs="Times New Roman"/>
          <w:i/>
          <w:iCs/>
          <w:lang w:val="en-US" w:eastAsia="ar-SA"/>
        </w:rPr>
        <w:t xml:space="preserve"> </w:t>
      </w:r>
      <w:r>
        <w:rPr>
          <w:rFonts w:ascii="Times New Roman" w:hAnsi="Times New Roman" w:cs="Times New Roman"/>
          <w:lang w:val="en-US" w:eastAsia="ar-SA"/>
        </w:rPr>
        <w:t xml:space="preserve">Baltic equity market, IPO, </w:t>
      </w:r>
      <w:smartTag w:uri="urn:schemas-microsoft-com:office:smarttags" w:element="place">
        <w:r>
          <w:rPr>
            <w:rFonts w:ascii="Times New Roman" w:hAnsi="Times New Roman" w:cs="Times New Roman"/>
            <w:lang w:val="en-US" w:eastAsia="ar-SA"/>
          </w:rPr>
          <w:t>PO</w:t>
        </w:r>
      </w:smartTag>
      <w:r>
        <w:rPr>
          <w:rFonts w:ascii="Times New Roman" w:hAnsi="Times New Roman" w:cs="Times New Roman"/>
          <w:lang w:val="en-US" w:eastAsia="ar-SA"/>
        </w:rPr>
        <w:t>, financial analysis, quality of financials, ownership structure, earnings plausibility</w:t>
      </w:r>
    </w:p>
    <w:p w:rsidR="008A3279" w:rsidRPr="000B17AA" w:rsidRDefault="008A3279" w:rsidP="000653DC">
      <w:pPr>
        <w:autoSpaceDE w:val="0"/>
        <w:autoSpaceDN w:val="0"/>
        <w:adjustRightInd w:val="0"/>
        <w:spacing w:after="0" w:line="240" w:lineRule="auto"/>
        <w:ind w:firstLine="567"/>
        <w:jc w:val="both"/>
        <w:rPr>
          <w:lang w:val="en-US"/>
        </w:rPr>
      </w:pPr>
      <w:r>
        <w:rPr>
          <w:rFonts w:ascii="Times New Roman" w:hAnsi="Times New Roman" w:cs="Times New Roman"/>
          <w:i/>
          <w:iCs/>
          <w:lang w:val="en-US" w:eastAsia="ar-SA"/>
        </w:rPr>
        <w:t>JEL Classification</w:t>
      </w:r>
      <w:r w:rsidRPr="008F1B40">
        <w:rPr>
          <w:rFonts w:ascii="Times New Roman" w:hAnsi="Times New Roman" w:cs="Times New Roman"/>
          <w:i/>
          <w:iCs/>
          <w:lang w:val="en-US" w:eastAsia="ar-SA"/>
        </w:rPr>
        <w:t>:</w:t>
      </w:r>
      <w:r>
        <w:rPr>
          <w:rFonts w:ascii="Times New Roman" w:hAnsi="Times New Roman" w:cs="Times New Roman"/>
          <w:i/>
          <w:iCs/>
          <w:lang w:val="en-US" w:eastAsia="ar-SA"/>
        </w:rPr>
        <w:t xml:space="preserve"> </w:t>
      </w:r>
      <w:r w:rsidRPr="00081A21">
        <w:rPr>
          <w:rFonts w:ascii="Times New Roman" w:hAnsi="Times New Roman" w:cs="Times New Roman"/>
          <w:lang w:val="en-US" w:eastAsia="ar-SA"/>
        </w:rPr>
        <w:t>G11, G14, G32</w:t>
      </w:r>
    </w:p>
    <w:sectPr w:rsidR="008A3279" w:rsidRPr="000B17AA" w:rsidSect="000653DC">
      <w:pgSz w:w="11906" w:h="16838"/>
      <w:pgMar w:top="1134" w:right="1134" w:bottom="1276" w:left="1134"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A2951C4"/>
    <w:multiLevelType w:val="hybridMultilevel"/>
    <w:tmpl w:val="5D422CD8"/>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0B17AA"/>
    <w:rsid w:val="0002421F"/>
    <w:rsid w:val="00033F53"/>
    <w:rsid w:val="00036CC2"/>
    <w:rsid w:val="000653DC"/>
    <w:rsid w:val="000779B6"/>
    <w:rsid w:val="00081A21"/>
    <w:rsid w:val="000B17AA"/>
    <w:rsid w:val="001A60CF"/>
    <w:rsid w:val="001B75B8"/>
    <w:rsid w:val="001C1E82"/>
    <w:rsid w:val="00241B3A"/>
    <w:rsid w:val="00297182"/>
    <w:rsid w:val="002F2DCF"/>
    <w:rsid w:val="002F3749"/>
    <w:rsid w:val="00352D8E"/>
    <w:rsid w:val="00364E97"/>
    <w:rsid w:val="00371414"/>
    <w:rsid w:val="003A08A8"/>
    <w:rsid w:val="003D1D58"/>
    <w:rsid w:val="0043273E"/>
    <w:rsid w:val="00433DC5"/>
    <w:rsid w:val="00463EFB"/>
    <w:rsid w:val="004654DD"/>
    <w:rsid w:val="00480D80"/>
    <w:rsid w:val="00541D65"/>
    <w:rsid w:val="00692AFC"/>
    <w:rsid w:val="006C37F1"/>
    <w:rsid w:val="00726C3D"/>
    <w:rsid w:val="00811ED4"/>
    <w:rsid w:val="008131A6"/>
    <w:rsid w:val="008227ED"/>
    <w:rsid w:val="00827DA3"/>
    <w:rsid w:val="00866914"/>
    <w:rsid w:val="008A3279"/>
    <w:rsid w:val="008D20E9"/>
    <w:rsid w:val="008F1B40"/>
    <w:rsid w:val="00972291"/>
    <w:rsid w:val="00976D0A"/>
    <w:rsid w:val="009C550B"/>
    <w:rsid w:val="00A102AA"/>
    <w:rsid w:val="00B14BF2"/>
    <w:rsid w:val="00B8435C"/>
    <w:rsid w:val="00BE63C4"/>
    <w:rsid w:val="00BE75A8"/>
    <w:rsid w:val="00C30462"/>
    <w:rsid w:val="00C5029E"/>
    <w:rsid w:val="00C86C26"/>
    <w:rsid w:val="00CA182B"/>
    <w:rsid w:val="00CA2E96"/>
    <w:rsid w:val="00CB0AAF"/>
    <w:rsid w:val="00CD40A1"/>
    <w:rsid w:val="00D22A15"/>
    <w:rsid w:val="00D33BE2"/>
    <w:rsid w:val="00D35E0F"/>
    <w:rsid w:val="00D84668"/>
    <w:rsid w:val="00DC4565"/>
    <w:rsid w:val="00E162E0"/>
    <w:rsid w:val="00E64E45"/>
    <w:rsid w:val="00E95DE7"/>
    <w:rsid w:val="00EF3DBE"/>
    <w:rsid w:val="00F46749"/>
    <w:rsid w:val="00F63713"/>
    <w:rsid w:val="00F95770"/>
    <w:rsid w:val="00FF70E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ountry-region"/>
  <w:smartTagType w:namespaceuri="urn:schemas-microsoft-com:office:smarttags" w:name="place"/>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F70E5"/>
    <w:pPr>
      <w:spacing w:after="200" w:line="276" w:lineRule="auto"/>
    </w:pPr>
    <w:rPr>
      <w:rFonts w:cs="Calibri"/>
      <w:lang w:val="ru-RU"/>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BE75A8"/>
    <w:pPr>
      <w:ind w:left="720"/>
    </w:pPr>
  </w:style>
  <w:style w:type="paragraph" w:styleId="DocumentMap">
    <w:name w:val="Document Map"/>
    <w:basedOn w:val="Normal"/>
    <w:link w:val="DocumentMapChar"/>
    <w:uiPriority w:val="99"/>
    <w:semiHidden/>
    <w:rsid w:val="00541D65"/>
    <w:pPr>
      <w:spacing w:after="0" w:line="240" w:lineRule="auto"/>
    </w:pPr>
    <w:rPr>
      <w:rFonts w:ascii="Tahoma" w:hAnsi="Tahoma" w:cs="Times New Roman"/>
      <w:sz w:val="16"/>
      <w:szCs w:val="16"/>
      <w:lang w:val="en-US"/>
    </w:rPr>
  </w:style>
  <w:style w:type="character" w:customStyle="1" w:styleId="DocumentMapChar">
    <w:name w:val="Document Map Char"/>
    <w:basedOn w:val="DefaultParagraphFont"/>
    <w:link w:val="DocumentMap"/>
    <w:uiPriority w:val="99"/>
    <w:semiHidden/>
    <w:locked/>
    <w:rsid w:val="00541D65"/>
    <w:rPr>
      <w:rFonts w:ascii="Tahoma" w:hAnsi="Tahoma" w:cs="Times New Roman"/>
      <w:sz w:val="16"/>
    </w:rPr>
  </w:style>
  <w:style w:type="paragraph" w:styleId="NormalWeb">
    <w:name w:val="Normal (Web)"/>
    <w:basedOn w:val="Normal"/>
    <w:uiPriority w:val="99"/>
    <w:semiHidden/>
    <w:rsid w:val="00541D65"/>
    <w:pPr>
      <w:spacing w:before="100" w:beforeAutospacing="1" w:after="100" w:afterAutospacing="1" w:line="240" w:lineRule="auto"/>
    </w:pPr>
    <w:rPr>
      <w:rFonts w:ascii="Times New Roman" w:eastAsia="Times New Roman" w:hAnsi="Times New Roman" w:cs="Times New Roman"/>
      <w:sz w:val="24"/>
      <w:szCs w:val="24"/>
      <w:lang w:val="lv-LV" w:eastAsia="lv-LV"/>
    </w:rPr>
  </w:style>
</w:styles>
</file>

<file path=word/webSettings.xml><?xml version="1.0" encoding="utf-8"?>
<w:webSettings xmlns:r="http://schemas.openxmlformats.org/officeDocument/2006/relationships" xmlns:w="http://schemas.openxmlformats.org/wordprocessingml/2006/main">
  <w:divs>
    <w:div w:id="1807164642">
      <w:marLeft w:val="0"/>
      <w:marRight w:val="0"/>
      <w:marTop w:val="0"/>
      <w:marBottom w:val="0"/>
      <w:divBdr>
        <w:top w:val="none" w:sz="0" w:space="0" w:color="auto"/>
        <w:left w:val="none" w:sz="0" w:space="0" w:color="auto"/>
        <w:bottom w:val="none" w:sz="0" w:space="0" w:color="auto"/>
        <w:right w:val="none" w:sz="0" w:space="0" w:color="auto"/>
      </w:divBdr>
    </w:div>
    <w:div w:id="180716464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TotalTime>
  <Pages>1</Pages>
  <Words>578</Words>
  <Characters>3300</Characters>
  <Application>Microsoft Office Outlook</Application>
  <DocSecurity>0</DocSecurity>
  <Lines>0</Lines>
  <Paragraphs>0</Paragraphs>
  <ScaleCrop>false</ScaleCrop>
  <Company>SIA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Corporate Financial Strength Sustainability Post PO: </dc:title>
  <dc:subject/>
  <dc:creator>CE Services</dc:creator>
  <cp:keywords/>
  <dc:description/>
  <cp:lastModifiedBy>Natalja Lace</cp:lastModifiedBy>
  <cp:revision>3</cp:revision>
  <dcterms:created xsi:type="dcterms:W3CDTF">2010-12-19T21:55:00Z</dcterms:created>
  <dcterms:modified xsi:type="dcterms:W3CDTF">2010-12-19T21:56:00Z</dcterms:modified>
</cp:coreProperties>
</file>