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1FB" w:rsidRDefault="00F101FB" w:rsidP="00F101FB">
      <w:pPr>
        <w:spacing w:after="0" w:line="240" w:lineRule="auto"/>
        <w:rPr>
          <w:rFonts w:ascii="Times New Roman" w:hAnsi="Times New Roman"/>
          <w:b/>
          <w:sz w:val="24"/>
          <w:szCs w:val="24"/>
        </w:rPr>
      </w:pPr>
      <w:r w:rsidRPr="00F101FB">
        <w:rPr>
          <w:rFonts w:ascii="Times New Roman" w:hAnsi="Times New Roman"/>
          <w:b/>
          <w:sz w:val="24"/>
          <w:szCs w:val="24"/>
        </w:rPr>
        <w:t>NEEDS FOR KNOWLEDGE MANAGEMENT IN COMMERCIAL BANKS</w:t>
      </w:r>
    </w:p>
    <w:p w:rsidR="00F101FB" w:rsidRDefault="00F101FB" w:rsidP="00F101FB">
      <w:pPr>
        <w:spacing w:after="0" w:line="240" w:lineRule="auto"/>
        <w:rPr>
          <w:rFonts w:ascii="Times New Roman" w:hAnsi="Times New Roman"/>
          <w:b/>
          <w:sz w:val="24"/>
          <w:szCs w:val="24"/>
        </w:rPr>
      </w:pPr>
    </w:p>
    <w:p w:rsidR="00A23BC4" w:rsidRPr="00F101FB" w:rsidRDefault="00F101FB" w:rsidP="00F101FB">
      <w:pPr>
        <w:spacing w:after="0" w:line="240" w:lineRule="auto"/>
        <w:rPr>
          <w:rFonts w:ascii="Times New Roman" w:hAnsi="Times New Roman"/>
          <w:b/>
          <w:sz w:val="24"/>
          <w:szCs w:val="24"/>
        </w:rPr>
      </w:pPr>
      <w:r w:rsidRPr="00F101FB">
        <w:rPr>
          <w:rFonts w:ascii="Times New Roman" w:hAnsi="Times New Roman"/>
          <w:b/>
          <w:sz w:val="24"/>
          <w:szCs w:val="24"/>
        </w:rPr>
        <w:t>ZINĀŠANU VADĪŠANAS NEPIECIEŠAMĪBA KOMERCBANKĀS</w:t>
      </w:r>
    </w:p>
    <w:p w:rsidR="00F101FB" w:rsidRDefault="00F101FB" w:rsidP="00F101FB">
      <w:pPr>
        <w:spacing w:after="0" w:line="240" w:lineRule="auto"/>
        <w:jc w:val="center"/>
        <w:rPr>
          <w:rFonts w:ascii="Times New Roman" w:hAnsi="Times New Roman"/>
          <w:b/>
          <w:sz w:val="24"/>
          <w:szCs w:val="24"/>
        </w:rPr>
      </w:pPr>
    </w:p>
    <w:p w:rsidR="00A23BC4" w:rsidRPr="00F101FB" w:rsidRDefault="00A23BC4" w:rsidP="00F101FB">
      <w:pPr>
        <w:spacing w:after="0" w:line="240" w:lineRule="auto"/>
        <w:rPr>
          <w:rFonts w:ascii="Times New Roman" w:hAnsi="Times New Roman"/>
          <w:bCs/>
          <w:sz w:val="24"/>
          <w:szCs w:val="24"/>
        </w:rPr>
      </w:pPr>
      <w:r w:rsidRPr="00F101FB">
        <w:rPr>
          <w:rFonts w:ascii="Times New Roman" w:hAnsi="Times New Roman"/>
          <w:bCs/>
          <w:sz w:val="24"/>
          <w:szCs w:val="24"/>
        </w:rPr>
        <w:t>J</w:t>
      </w:r>
      <w:r w:rsidR="00F101FB" w:rsidRPr="00F101FB">
        <w:rPr>
          <w:rFonts w:ascii="Times New Roman" w:hAnsi="Times New Roman"/>
          <w:bCs/>
          <w:sz w:val="24"/>
          <w:szCs w:val="24"/>
        </w:rPr>
        <w:t xml:space="preserve">. </w:t>
      </w:r>
      <w:r w:rsidRPr="00F101FB">
        <w:rPr>
          <w:rFonts w:ascii="Times New Roman" w:hAnsi="Times New Roman"/>
          <w:bCs/>
          <w:sz w:val="24"/>
          <w:szCs w:val="24"/>
        </w:rPr>
        <w:t>Erina</w:t>
      </w:r>
      <w:r w:rsidR="00F101FB" w:rsidRPr="00F101FB">
        <w:rPr>
          <w:rFonts w:ascii="Times New Roman" w:hAnsi="Times New Roman"/>
          <w:bCs/>
          <w:sz w:val="24"/>
          <w:szCs w:val="24"/>
        </w:rPr>
        <w:t xml:space="preserve">, </w:t>
      </w:r>
      <w:r w:rsidRPr="00F101FB">
        <w:rPr>
          <w:rFonts w:ascii="Times New Roman" w:hAnsi="Times New Roman"/>
          <w:bCs/>
          <w:sz w:val="24"/>
          <w:szCs w:val="24"/>
        </w:rPr>
        <w:t>N</w:t>
      </w:r>
      <w:r w:rsidR="00F101FB" w:rsidRPr="00F101FB">
        <w:rPr>
          <w:rFonts w:ascii="Times New Roman" w:hAnsi="Times New Roman"/>
          <w:bCs/>
          <w:sz w:val="24"/>
          <w:szCs w:val="24"/>
        </w:rPr>
        <w:t xml:space="preserve">. </w:t>
      </w:r>
      <w:r w:rsidRPr="00F101FB">
        <w:rPr>
          <w:rFonts w:ascii="Times New Roman" w:hAnsi="Times New Roman"/>
          <w:bCs/>
          <w:sz w:val="24"/>
          <w:szCs w:val="24"/>
        </w:rPr>
        <w:t>Lace</w:t>
      </w:r>
    </w:p>
    <w:p w:rsidR="00F101FB" w:rsidRDefault="00F101FB" w:rsidP="00F101FB">
      <w:pPr>
        <w:spacing w:after="0" w:line="240" w:lineRule="auto"/>
        <w:rPr>
          <w:rFonts w:ascii="Times New Roman" w:hAnsi="Times New Roman"/>
          <w:sz w:val="24"/>
          <w:szCs w:val="24"/>
        </w:rPr>
      </w:pPr>
    </w:p>
    <w:p w:rsidR="00A23BC4" w:rsidRPr="00F101FB" w:rsidRDefault="00A23BC4" w:rsidP="00F101FB">
      <w:pPr>
        <w:spacing w:after="0" w:line="240" w:lineRule="auto"/>
        <w:rPr>
          <w:rFonts w:ascii="Times New Roman" w:hAnsi="Times New Roman"/>
          <w:sz w:val="24"/>
          <w:szCs w:val="24"/>
        </w:rPr>
      </w:pPr>
      <w:r w:rsidRPr="00F101FB">
        <w:rPr>
          <w:rFonts w:ascii="Times New Roman" w:hAnsi="Times New Roman"/>
          <w:b/>
          <w:sz w:val="24"/>
          <w:szCs w:val="24"/>
        </w:rPr>
        <w:t xml:space="preserve">Atslēgas vārdi: </w:t>
      </w:r>
      <w:r w:rsidR="00F101FB">
        <w:rPr>
          <w:rFonts w:ascii="Times New Roman" w:hAnsi="Times New Roman"/>
          <w:sz w:val="24"/>
          <w:szCs w:val="24"/>
        </w:rPr>
        <w:t>zināšanu menedžments, mentorings, intelektuālais kapitāls, motivācija, b</w:t>
      </w:r>
      <w:r w:rsidRPr="00F101FB">
        <w:rPr>
          <w:rFonts w:ascii="Times New Roman" w:hAnsi="Times New Roman"/>
          <w:sz w:val="24"/>
          <w:szCs w:val="24"/>
        </w:rPr>
        <w:t>anka</w:t>
      </w:r>
    </w:p>
    <w:p w:rsidR="00F101FB" w:rsidRDefault="00F101FB" w:rsidP="00F101FB">
      <w:pPr>
        <w:spacing w:after="0" w:line="240" w:lineRule="auto"/>
        <w:rPr>
          <w:rFonts w:ascii="Times New Roman" w:hAnsi="Times New Roman"/>
          <w:sz w:val="24"/>
          <w:szCs w:val="24"/>
        </w:rPr>
      </w:pPr>
    </w:p>
    <w:p w:rsidR="00A23BC4" w:rsidRDefault="00A23BC4" w:rsidP="00F101FB">
      <w:pPr>
        <w:spacing w:after="0" w:line="240" w:lineRule="auto"/>
        <w:rPr>
          <w:rFonts w:ascii="Times New Roman" w:hAnsi="Times New Roman"/>
          <w:b/>
          <w:sz w:val="24"/>
          <w:szCs w:val="24"/>
        </w:rPr>
      </w:pPr>
      <w:r w:rsidRPr="00F101FB">
        <w:rPr>
          <w:rFonts w:ascii="Times New Roman" w:hAnsi="Times New Roman"/>
          <w:b/>
          <w:sz w:val="24"/>
          <w:szCs w:val="24"/>
        </w:rPr>
        <w:t>Ievads</w:t>
      </w:r>
    </w:p>
    <w:p w:rsidR="00195583" w:rsidRPr="00F101FB" w:rsidRDefault="00195583" w:rsidP="00F101FB">
      <w:pPr>
        <w:spacing w:after="0" w:line="240" w:lineRule="auto"/>
        <w:rPr>
          <w:rFonts w:ascii="Times New Roman" w:hAnsi="Times New Roman"/>
          <w:b/>
          <w:sz w:val="24"/>
          <w:szCs w:val="24"/>
        </w:rPr>
      </w:pP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Banku sistēma ir svarīga joma tautsaimniecības attīstībai jebkurā valstī. Tās praktisko nozīmi nosaka, kā valsts sistēmā darbojas maksājumi un norēķini. Komercbankas, kas darbojas saskaņā ar valsts monetāro politiku, regulē naudas plūsmu, kas ietekmē likmi no to apgrozījuma, emisiju, ieskaitot skaidras naudas daudzumu, kas atrodas apgrozībā.</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 xml:space="preserve">Pēdējo gadu straujā Latvijas ekonomiskā attīstība un ar to saistītās problēmas negatīvi ietekmēja komercbanku sistēmas stabilitāti. Šādos apstākļos sevišķi aktuāls kļūst banku kredītrisku un komercbanku stabilitātes novērtēšanas jautājums. Vērtējot situāciju pasaulē pēdējo 30 gadu laikā banku jomā, var secināt, ka kredītrisks kļuva par iemeslu banku problēmām Šveicē, Spānijā, Lielbritānijā, Norvēģijā, Zviedrijā, Japānā, ASV. Kredītriska koncentrācijas dēļ krīžu dziļums bija atšķirīgs. Atsevišķos gadījumos situācijas uzlabošanai pat bija nepieciešams valsts atbalsts. </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Latvijas valsts īpašumā ir saglabātas trīs bankas – kopš 30.06.2010. jaundibinātā banka AS „Citadele banka”, kas tika atdalīta no AS „Parex banka”, kas tagad pilda risinājumu bankas funkcijas un VAS „Latvijas Hipotēku un zemes banka”, kas pilda arī attīstības bankas funkcijas (2009.gada septembra beigās tās pamatkapitāls bija 6.1% no bankas apmaksātā pamatkapitāla). Ar Latvijas Republikas valdības lēmumu valstij piederošās 85,14% AS „Parex banka” akcijas 2009.gada 27.februārī tika nodotas VAS „Privatizācijas aģentūra” turējumā. AS „Parex banka” pamatkapitāls 2009.gada septembra beigās bija 16.1% no banku apmaksātā pamatkapitāla [1].</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 xml:space="preserve">Efektīva banku sistēma ir viens no svarīgākajiem nosacījumiem ekonomiskajai attīstībai Latvijā. Pēdējo gadu laikā valstī tika izveidota un izstrādāta divu līmeņu banku sistēma. Pamazām radot konkurētspējīgas kredītiestādes un finanšu struktūras pamata elementus, kas ir komercbankas. </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Monetāro finanšu iestāžu (MFI) kopējie operatīvie zaudējumi 2009.gada deviņos mēnešos bija 573,5 milj</w:t>
      </w:r>
      <w:smartTag w:uri="schemas-tilde-lv/tildestengine" w:element="currency2">
        <w:smartTagPr>
          <w:attr w:name="currency_text" w:val="latu"/>
          <w:attr w:name="currency_value" w:val="."/>
          <w:attr w:name="currency_key" w:val="LVL"/>
          <w:attr w:name="currency_id" w:val="48"/>
        </w:smartTagPr>
        <w:r w:rsidRPr="00F101FB">
          <w:rPr>
            <w:rFonts w:ascii="Times New Roman" w:hAnsi="Times New Roman"/>
            <w:sz w:val="24"/>
            <w:szCs w:val="24"/>
          </w:rPr>
          <w:t>. latu</w:t>
        </w:r>
      </w:smartTag>
      <w:r w:rsidRPr="00F101FB">
        <w:rPr>
          <w:rFonts w:ascii="Times New Roman" w:hAnsi="Times New Roman"/>
          <w:sz w:val="24"/>
          <w:szCs w:val="24"/>
        </w:rPr>
        <w:t xml:space="preserve"> (iepriekšējā gada atbilstošajā periodā MFI guva peļņu 213,4 milj</w:t>
      </w:r>
      <w:smartTag w:uri="schemas-tilde-lv/tildestengine" w:element="currency2">
        <w:smartTagPr>
          <w:attr w:name="currency_text" w:val="latu"/>
          <w:attr w:name="currency_value" w:val="."/>
          <w:attr w:name="currency_key" w:val="LVL"/>
          <w:attr w:name="currency_id" w:val="48"/>
        </w:smartTagPr>
        <w:r w:rsidRPr="00F101FB">
          <w:rPr>
            <w:rFonts w:ascii="Times New Roman" w:hAnsi="Times New Roman"/>
            <w:sz w:val="24"/>
            <w:szCs w:val="24"/>
          </w:rPr>
          <w:t>. latu</w:t>
        </w:r>
      </w:smartTag>
      <w:r w:rsidRPr="00F101FB">
        <w:rPr>
          <w:rFonts w:ascii="Times New Roman" w:hAnsi="Times New Roman"/>
          <w:sz w:val="24"/>
          <w:szCs w:val="24"/>
        </w:rPr>
        <w:t xml:space="preserve"> apjomā), t.sk. krājaizdevumu sabiedrības un naudas tirgus fondi strādāja ar peļņu (0,7 milj</w:t>
      </w:r>
      <w:smartTag w:uri="schemas-tilde-lv/tildestengine" w:element="currency2">
        <w:smartTagPr>
          <w:attr w:name="currency_text" w:val="latu"/>
          <w:attr w:name="currency_value" w:val="."/>
          <w:attr w:name="currency_key" w:val="LVL"/>
          <w:attr w:name="currency_id" w:val="48"/>
        </w:smartTagPr>
        <w:r w:rsidRPr="00F101FB">
          <w:rPr>
            <w:rFonts w:ascii="Times New Roman" w:hAnsi="Times New Roman"/>
            <w:sz w:val="24"/>
            <w:szCs w:val="24"/>
          </w:rPr>
          <w:t>. latu</w:t>
        </w:r>
      </w:smartTag>
      <w:r w:rsidRPr="00F101FB">
        <w:rPr>
          <w:rFonts w:ascii="Times New Roman" w:hAnsi="Times New Roman"/>
          <w:sz w:val="24"/>
          <w:szCs w:val="24"/>
        </w:rPr>
        <w:t>) [2]. Kā apliecina 2010.gada 2.ceturkšņa dati salīdzinājumā ar 2009.gada deviņu mēnešu datiem, tad banku sektora kopējie zaudējumi samazinājušies par 147,906 milj</w:t>
      </w:r>
      <w:smartTag w:uri="schemas-tilde-lv/tildestengine" w:element="currency2">
        <w:smartTagPr>
          <w:attr w:name="currency_text" w:val="latu"/>
          <w:attr w:name="currency_value" w:val="."/>
          <w:attr w:name="currency_key" w:val="LVL"/>
          <w:attr w:name="currency_id" w:val="48"/>
        </w:smartTagPr>
        <w:r w:rsidRPr="00F101FB">
          <w:rPr>
            <w:rFonts w:ascii="Times New Roman" w:hAnsi="Times New Roman"/>
            <w:sz w:val="24"/>
            <w:szCs w:val="24"/>
          </w:rPr>
          <w:t>. latu</w:t>
        </w:r>
      </w:smartTag>
      <w:r w:rsidRPr="00F101FB">
        <w:rPr>
          <w:rFonts w:ascii="Times New Roman" w:hAnsi="Times New Roman"/>
          <w:sz w:val="24"/>
          <w:szCs w:val="24"/>
        </w:rPr>
        <w:t xml:space="preserve"> jeb par 26% [2].</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2009.gada septembra beigās 74,1% no Latvijas banku apmaksātā pamatkapitāla piederēja ārvalstu akcionāriem. Ārvalstu akcionāriem 11 bankās piederēja vairāk nekā 50% no apmaksātā pamatkapitāla.</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Kā liecina Finanšu un kapitāla tirgus komisijas (FKTK) dati par 2010.gada 2.ceturksni, Latvijā banku pakalpojumus sniedz 22 bankas un 9 ārvalstu banku filiāles, kā arī Eiropas Ekonomikas zonas valstīs reģistrētās kredītiestādes vai to filiāles, kas iesniegušas attiecīgo pieteikumu FKTK, no kurām vienai bankai – „VEF banka” kopš 26.05.2010. ir anulēta licence [2]. Latvijas Bankā reģistrētas arī sešas elektroniskās naudas institūcijas un divi naudas tirgus fondi [1].</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 xml:space="preserve">Literatūras analīze parādīja, ka veiksmīgai banku sistēmas darbībai mūsdienu konkurences un krīzes apstākļos ar ierastajām finanšu metodēm ir vairāk kā nepietiekami, līdz ar to bankām ir jāizstrādā un jārada jaunas idejas. To parāda arī PricewaterhouseCoopers SIA veiktais pētījums, ka krīzes laikā ir jāmeklē jauni instrumenti efektīvākai banku darbībai: „The Future of Banking: Returning stability to banks and the banking system”, tad „Pašreizējā krīze piedāvā reālas iespējas bankām pārskatīt savus biznesa modeļus, pārvērtējot atdeves un risku attiecību. Veiksme </w:t>
      </w:r>
      <w:r w:rsidRPr="00F101FB">
        <w:rPr>
          <w:rFonts w:ascii="Times New Roman" w:hAnsi="Times New Roman"/>
          <w:sz w:val="24"/>
          <w:szCs w:val="24"/>
        </w:rPr>
        <w:lastRenderedPageBreak/>
        <w:t>būs atkarīga no visu līmeņu vadītāju spējām un prasmēm realizēt izmaiņas, ieviešot jaunu biznesa modeli. (...) Attiecīgo pārmaiņu veikšanai būs nepieciešami spēcīgi līderi un stipra komanda” [3].</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Kā parādīja pētnieku veikto darbu analīze, tad būtisks un noteicošs faktors, kurš spēj ietekmēt banku finanšu rādītājus ir intelektuālie resursi, kas sevī ietver zināšanu vadīšanu, intelektuālo kapitālu, formālo un neformālo mentoringu, kā arī darbinieku motivāciju.</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Lai pierādītu zināšanu vadīšanas, mentoringa, intelektuālā kapitāla un motivācijas nepieciešamību bankā, tika izvirzītas sekojošas hipotēzes:</w:t>
      </w:r>
    </w:p>
    <w:p w:rsidR="00A23BC4" w:rsidRPr="00F101FB" w:rsidRDefault="00A23BC4" w:rsidP="00195583">
      <w:pPr>
        <w:numPr>
          <w:ilvl w:val="0"/>
          <w:numId w:val="22"/>
        </w:numPr>
        <w:spacing w:after="0" w:line="240" w:lineRule="auto"/>
        <w:jc w:val="both"/>
        <w:rPr>
          <w:rFonts w:ascii="Times New Roman" w:hAnsi="Times New Roman"/>
          <w:sz w:val="24"/>
          <w:szCs w:val="24"/>
        </w:rPr>
      </w:pPr>
      <w:r w:rsidRPr="00F101FB">
        <w:rPr>
          <w:rFonts w:ascii="Times New Roman" w:hAnsi="Times New Roman"/>
          <w:sz w:val="24"/>
          <w:szCs w:val="24"/>
        </w:rPr>
        <w:t>zināšanu vadīšana spēj ietekmēt bankas finanšu rādītājus;</w:t>
      </w:r>
    </w:p>
    <w:p w:rsidR="00A23BC4" w:rsidRPr="00F101FB" w:rsidRDefault="00A23BC4" w:rsidP="00195583">
      <w:pPr>
        <w:numPr>
          <w:ilvl w:val="0"/>
          <w:numId w:val="22"/>
        </w:numPr>
        <w:spacing w:after="0" w:line="240" w:lineRule="auto"/>
        <w:jc w:val="both"/>
        <w:rPr>
          <w:rFonts w:ascii="Times New Roman" w:hAnsi="Times New Roman"/>
          <w:sz w:val="24"/>
          <w:szCs w:val="24"/>
        </w:rPr>
      </w:pPr>
      <w:r w:rsidRPr="00F101FB">
        <w:rPr>
          <w:rFonts w:ascii="Times New Roman" w:hAnsi="Times New Roman"/>
          <w:sz w:val="24"/>
          <w:szCs w:val="24"/>
        </w:rPr>
        <w:t>intelektuālais kapitāls spēj ietekmēt bankas finanšu rādītājus;</w:t>
      </w:r>
    </w:p>
    <w:p w:rsidR="00A23BC4" w:rsidRPr="00F101FB" w:rsidRDefault="00A23BC4" w:rsidP="00195583">
      <w:pPr>
        <w:numPr>
          <w:ilvl w:val="0"/>
          <w:numId w:val="22"/>
        </w:numPr>
        <w:spacing w:after="0" w:line="240" w:lineRule="auto"/>
        <w:jc w:val="both"/>
        <w:rPr>
          <w:rFonts w:ascii="Times New Roman" w:hAnsi="Times New Roman"/>
          <w:sz w:val="24"/>
          <w:szCs w:val="24"/>
        </w:rPr>
      </w:pPr>
      <w:r w:rsidRPr="00F101FB">
        <w:rPr>
          <w:rFonts w:ascii="Times New Roman" w:hAnsi="Times New Roman"/>
          <w:sz w:val="24"/>
          <w:szCs w:val="24"/>
        </w:rPr>
        <w:t>pastāv saistība starp formālo un neformālo mentoringu un zināšanu apmaiņu un izmantošanu;</w:t>
      </w:r>
    </w:p>
    <w:p w:rsidR="00A23BC4" w:rsidRPr="00F101FB" w:rsidRDefault="00A23BC4" w:rsidP="00195583">
      <w:pPr>
        <w:numPr>
          <w:ilvl w:val="0"/>
          <w:numId w:val="22"/>
        </w:numPr>
        <w:spacing w:after="0" w:line="240" w:lineRule="auto"/>
        <w:jc w:val="both"/>
        <w:rPr>
          <w:rFonts w:ascii="Times New Roman" w:hAnsi="Times New Roman"/>
          <w:sz w:val="24"/>
          <w:szCs w:val="24"/>
        </w:rPr>
      </w:pPr>
      <w:r w:rsidRPr="00F101FB">
        <w:rPr>
          <w:rFonts w:ascii="Times New Roman" w:hAnsi="Times New Roman"/>
          <w:sz w:val="24"/>
          <w:szCs w:val="24"/>
        </w:rPr>
        <w:t>augstāku rezultātu sasniegšanā būtiska loma ir darbinieku motivācijai.</w:t>
      </w:r>
    </w:p>
    <w:p w:rsidR="00A23BC4" w:rsidRPr="00F101FB" w:rsidRDefault="00A23BC4" w:rsidP="00195583">
      <w:pPr>
        <w:spacing w:before="120" w:after="0" w:line="240" w:lineRule="auto"/>
        <w:jc w:val="both"/>
        <w:rPr>
          <w:rFonts w:ascii="Times New Roman" w:hAnsi="Times New Roman"/>
          <w:sz w:val="24"/>
          <w:szCs w:val="24"/>
        </w:rPr>
      </w:pPr>
      <w:r w:rsidRPr="00F101FB">
        <w:rPr>
          <w:rFonts w:ascii="Times New Roman" w:hAnsi="Times New Roman"/>
          <w:sz w:val="24"/>
          <w:szCs w:val="24"/>
        </w:rPr>
        <w:t>Pētījuma veikšanai autores izmantojas šādas metodes: literatūras apskatu, intervijas satura, anketēšanas datu un statistisko datu, aprakstošo datu, satura analīzes, interviju un anketēšanas rezultātu mix, finanšu koeficienta, informācijas grafisko attēlošanu.</w:t>
      </w:r>
    </w:p>
    <w:p w:rsidR="00457A4D" w:rsidRPr="00F101FB" w:rsidRDefault="00457A4D" w:rsidP="00F101FB">
      <w:pPr>
        <w:spacing w:after="0" w:line="240" w:lineRule="auto"/>
        <w:jc w:val="both"/>
        <w:rPr>
          <w:rFonts w:ascii="Times New Roman" w:hAnsi="Times New Roman"/>
          <w:sz w:val="24"/>
          <w:szCs w:val="24"/>
        </w:rPr>
      </w:pPr>
    </w:p>
    <w:p w:rsidR="00A23BC4" w:rsidRDefault="00A23BC4" w:rsidP="00195583">
      <w:pPr>
        <w:spacing w:after="0" w:line="240" w:lineRule="auto"/>
        <w:rPr>
          <w:rFonts w:ascii="Times New Roman" w:hAnsi="Times New Roman"/>
          <w:b/>
          <w:sz w:val="24"/>
          <w:szCs w:val="24"/>
        </w:rPr>
      </w:pPr>
      <w:r w:rsidRPr="00F101FB">
        <w:rPr>
          <w:rFonts w:ascii="Times New Roman" w:hAnsi="Times New Roman"/>
          <w:b/>
          <w:sz w:val="24"/>
          <w:szCs w:val="24"/>
        </w:rPr>
        <w:t>Zināšanu vadīšana</w:t>
      </w:r>
    </w:p>
    <w:p w:rsidR="00195583" w:rsidRPr="00F101FB" w:rsidRDefault="00195583" w:rsidP="00195583">
      <w:pPr>
        <w:spacing w:after="0" w:line="240" w:lineRule="auto"/>
        <w:rPr>
          <w:rFonts w:ascii="Times New Roman" w:hAnsi="Times New Roman"/>
          <w:b/>
          <w:sz w:val="24"/>
          <w:szCs w:val="24"/>
        </w:rPr>
      </w:pP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Zināšanu vadīšana un intelektuālais kapitāls pamatā tiek izprasti kā stratēģiskā vadīšana un darbinieku zināšanas un intelekts, kuru nostiprināšanai ir nepieciešams nepārtraukts apmācību posms un stratēģiskā domāšana.</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Zināšanu vadīšana ir organizācijas spēja atbalstīt un organizēt mācību procesu organizācijā, ņemot vērā pieprasījumu pēc nepieciešamās informācijas (Huizing un Bouman, 2002) [4].</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Zināšanas kā panākumu pamats iezīmējās 21.gadsimtā [5]. Zināšanas netiek izmantotas lietderīgi, ja tās pielieto, lai risinātu organizācijas problēmas, jo zināšanas ir vērtība, kas saglabājas atšķirībā no bilancē ierastajiem aktīviem, kurus var amortizēt vai aizs</w:t>
      </w:r>
      <w:r w:rsidR="002E0669" w:rsidRPr="00F101FB">
        <w:rPr>
          <w:rFonts w:ascii="Times New Roman" w:hAnsi="Times New Roman"/>
          <w:sz w:val="24"/>
          <w:szCs w:val="24"/>
        </w:rPr>
        <w:t>tāt [6]. Tādejādi zināšanu vadīšana</w:t>
      </w:r>
      <w:r w:rsidRPr="00F101FB">
        <w:rPr>
          <w:rFonts w:ascii="Times New Roman" w:hAnsi="Times New Roman"/>
          <w:sz w:val="24"/>
          <w:szCs w:val="24"/>
        </w:rPr>
        <w:t xml:space="preserve"> ir stra</w:t>
      </w:r>
      <w:r w:rsidR="00F50279" w:rsidRPr="00F101FB">
        <w:rPr>
          <w:rFonts w:ascii="Times New Roman" w:hAnsi="Times New Roman"/>
          <w:sz w:val="24"/>
          <w:szCs w:val="24"/>
        </w:rPr>
        <w:t>tēģisks jautājums (Nonaka un Konno, 1998; Alvarez un Barney, 2001; Bontis un Nikitopoulos, 2001</w:t>
      </w:r>
      <w:r w:rsidRPr="00F101FB">
        <w:rPr>
          <w:rFonts w:ascii="Times New Roman" w:hAnsi="Times New Roman"/>
          <w:sz w:val="24"/>
          <w:szCs w:val="24"/>
        </w:rPr>
        <w:t>).</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Uz zināšanām balstīta pieeja paver jaunus jautājumus par savstarpējo mijiedarbību [7], zināšanu aktīviem [6]. Šāda veida organizatoriskā struktūra pilnībā izmaina tradicionālo plānošanu, organizēšanu, vadīšanu, grāmatvedību un citus organizatoriskos jautājumus [8]. Līdz ar to uzņēmumam no jauna rodas nepieciešamība nodefinēt savus stratēģiskos mērķus un funkcijas, lai pēc iespējas veiksmīgāk spētu konkurēt zināšanu laikmetā. Uz zināšanām vērstiem uzņēmumiem ir augstāks konkurences potenciāls, tādejādi arī spējot nepārtraukti pacelt savu zināšanu līmeni [9].</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Pēc Nonaka vārdiem, „ (...) tikai patiesi ilgstošas konkurent spējas priekšrocība ir zināšanas (...)” [10] uz kuru pamata ir iespējams atrast kādu no saistītajiem jēdzieniem, piemēram, „uz zināšanām balstītas organizācijas” un „uz zināšanām balstītas priekšrocības”. Uzņēmumam absorbējot iekšējās un ārējās zināšanas un tās apvienojot rodas jaunas un noderīgas zināšanas [11].</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Pieejamā literatūra parāda galveno atšķirību starp divām galvenajām zināšanu vadīšanas stratēģijām: izmantošanu un izpēti. Šai tipoloģijai ir sekojuši daudzi autori, kuri ir izveidojuši atbilstošu literatūru, kas jau praktiski ir ieviesta darbībā. Zināšanu un pārvaldības stratēģijas izmantošana organizācijā sekmē jauninājumus un jaunu zināšanu radīšanu.</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 xml:space="preserve">Arvien izteiktāks kļūst mentorings, tādejādi kļūstot par efektīvu veidu, lai veicinātu zināšanu radīšanu un apmaiņu [12]. Mentorings ir daudz apspriests no dažādiem aspektiem, to starp </w:t>
      </w:r>
      <w:r w:rsidRPr="00F101FB">
        <w:rPr>
          <w:rFonts w:ascii="Times New Roman" w:hAnsi="Times New Roman"/>
          <w:sz w:val="24"/>
          <w:szCs w:val="24"/>
        </w:rPr>
        <w:lastRenderedPageBreak/>
        <w:t>iekļaujot arī mentoringa informācijas apmaiņu, un, ka jaunajiem darbiniekiem ir nepieciešams mentors [13].</w:t>
      </w:r>
    </w:p>
    <w:p w:rsidR="00A23BC4" w:rsidRPr="00F101FB" w:rsidRDefault="00A23BC4" w:rsidP="00195583">
      <w:pPr>
        <w:spacing w:after="120" w:line="240" w:lineRule="auto"/>
        <w:jc w:val="both"/>
        <w:rPr>
          <w:rFonts w:ascii="Times New Roman" w:hAnsi="Times New Roman"/>
          <w:sz w:val="24"/>
          <w:szCs w:val="24"/>
        </w:rPr>
      </w:pPr>
      <w:r w:rsidRPr="00F101FB">
        <w:rPr>
          <w:rFonts w:ascii="Times New Roman" w:hAnsi="Times New Roman"/>
          <w:sz w:val="24"/>
          <w:szCs w:val="24"/>
        </w:rPr>
        <w:t>Neskatoties uz daudzajiem pētījumiem par mentoringu, ievērojami mazāka uzmanība ir veltīta mentoringa saturam un tā izmantošanai, novērtējot zināšanu vadīšanas panākumus. Līdz šim nav veikti empīriski pētījumi, kas aplūkotu mentoringa efektivitāti un kā tas spēj ietekmēt zināšanu vadīšanu.</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Literatūrā visvairāk apspriests un likts akcents uz trīs galvenajiem principiem nosakot zināšanu vadīšanu, proti:</w:t>
      </w:r>
    </w:p>
    <w:p w:rsidR="00A23BC4" w:rsidRPr="00F101FB" w:rsidRDefault="00A23BC4" w:rsidP="00195583">
      <w:pPr>
        <w:numPr>
          <w:ilvl w:val="0"/>
          <w:numId w:val="23"/>
        </w:numPr>
        <w:spacing w:after="0" w:line="240" w:lineRule="auto"/>
        <w:jc w:val="both"/>
        <w:rPr>
          <w:rFonts w:ascii="Times New Roman" w:hAnsi="Times New Roman"/>
          <w:sz w:val="24"/>
          <w:szCs w:val="24"/>
        </w:rPr>
      </w:pPr>
      <w:r w:rsidRPr="00F101FB">
        <w:rPr>
          <w:rFonts w:ascii="Times New Roman" w:hAnsi="Times New Roman"/>
          <w:sz w:val="24"/>
          <w:szCs w:val="24"/>
        </w:rPr>
        <w:t>Zināšanu sadalīšanu, kas ir saistīta ar zināšanu saņemšanu un sniegšanu, kā arī ar zināšanu nodošanu no paaudzes uz paaudzi;</w:t>
      </w:r>
    </w:p>
    <w:p w:rsidR="00A23BC4" w:rsidRPr="00F101FB" w:rsidRDefault="00A23BC4" w:rsidP="00195583">
      <w:pPr>
        <w:numPr>
          <w:ilvl w:val="0"/>
          <w:numId w:val="23"/>
        </w:numPr>
        <w:spacing w:after="0" w:line="240" w:lineRule="auto"/>
        <w:jc w:val="both"/>
        <w:rPr>
          <w:rFonts w:ascii="Times New Roman" w:hAnsi="Times New Roman"/>
          <w:sz w:val="24"/>
          <w:szCs w:val="24"/>
        </w:rPr>
      </w:pPr>
      <w:r w:rsidRPr="00F101FB">
        <w:rPr>
          <w:rFonts w:ascii="Times New Roman" w:hAnsi="Times New Roman"/>
          <w:sz w:val="24"/>
          <w:szCs w:val="24"/>
        </w:rPr>
        <w:t>Zināšanu saglabāšana, kas ir aktīvs zināšanu pārvaldības process;</w:t>
      </w:r>
    </w:p>
    <w:p w:rsidR="00A23BC4" w:rsidRDefault="00A23BC4" w:rsidP="00195583">
      <w:pPr>
        <w:numPr>
          <w:ilvl w:val="0"/>
          <w:numId w:val="23"/>
        </w:numPr>
        <w:spacing w:after="0" w:line="240" w:lineRule="auto"/>
        <w:jc w:val="both"/>
        <w:rPr>
          <w:rFonts w:ascii="Times New Roman" w:hAnsi="Times New Roman"/>
          <w:sz w:val="24"/>
          <w:szCs w:val="24"/>
        </w:rPr>
      </w:pPr>
      <w:r w:rsidRPr="00F101FB">
        <w:rPr>
          <w:rFonts w:ascii="Times New Roman" w:hAnsi="Times New Roman"/>
          <w:sz w:val="24"/>
          <w:szCs w:val="24"/>
        </w:rPr>
        <w:t>Zināšanu izmantošana.</w:t>
      </w:r>
    </w:p>
    <w:p w:rsidR="00195583" w:rsidRPr="00F101FB" w:rsidRDefault="00195583" w:rsidP="00195583">
      <w:pPr>
        <w:spacing w:after="0" w:line="240" w:lineRule="auto"/>
        <w:ind w:left="360"/>
        <w:jc w:val="both"/>
        <w:rPr>
          <w:rFonts w:ascii="Times New Roman" w:hAnsi="Times New Roman"/>
          <w:sz w:val="24"/>
          <w:szCs w:val="24"/>
        </w:rPr>
      </w:pPr>
    </w:p>
    <w:p w:rsidR="00A23BC4" w:rsidRDefault="00A23BC4" w:rsidP="00195583">
      <w:pPr>
        <w:spacing w:after="0" w:line="240" w:lineRule="auto"/>
        <w:rPr>
          <w:rFonts w:ascii="Times New Roman" w:hAnsi="Times New Roman"/>
          <w:b/>
          <w:sz w:val="24"/>
          <w:szCs w:val="24"/>
        </w:rPr>
      </w:pPr>
      <w:r w:rsidRPr="00F101FB">
        <w:rPr>
          <w:rFonts w:ascii="Times New Roman" w:hAnsi="Times New Roman"/>
          <w:b/>
          <w:sz w:val="24"/>
          <w:szCs w:val="24"/>
        </w:rPr>
        <w:t>Intelektuālais kapitāls</w:t>
      </w:r>
    </w:p>
    <w:p w:rsidR="00195583" w:rsidRPr="00F101FB" w:rsidRDefault="00195583" w:rsidP="00195583">
      <w:pPr>
        <w:spacing w:after="0" w:line="240" w:lineRule="auto"/>
        <w:rPr>
          <w:rFonts w:ascii="Times New Roman" w:hAnsi="Times New Roman"/>
          <w:b/>
          <w:sz w:val="24"/>
          <w:szCs w:val="24"/>
        </w:rPr>
      </w:pPr>
    </w:p>
    <w:p w:rsidR="00457A4D" w:rsidRPr="00F101FB" w:rsidRDefault="00A23BC4" w:rsidP="001705B7">
      <w:pPr>
        <w:spacing w:after="120" w:line="240" w:lineRule="auto"/>
        <w:jc w:val="both"/>
        <w:rPr>
          <w:rFonts w:ascii="Times New Roman" w:hAnsi="Times New Roman"/>
          <w:sz w:val="24"/>
          <w:szCs w:val="24"/>
        </w:rPr>
      </w:pPr>
      <w:r w:rsidRPr="00F101FB">
        <w:rPr>
          <w:rFonts w:ascii="Times New Roman" w:hAnsi="Times New Roman"/>
          <w:sz w:val="24"/>
          <w:szCs w:val="24"/>
        </w:rPr>
        <w:t>Kopš intelektuālā kapitāla pētniecības sākuma 1980.gadā tiek minētas daudz un dažādas tā definīcijas. Itami, kas publicējis daudz savus pētījumus intelektuālo kapitālu min kā nemateriālu aktīvu, kas sevī ietver informāciju par klientiem, zīmola nosaukumu, reputāciju, kā arī korporatīvo kultūru, kas ir nenovērtējama uzņēmuma vērtība (Itami, 1987).</w:t>
      </w:r>
    </w:p>
    <w:p w:rsidR="00A23BC4" w:rsidRPr="00F101FB" w:rsidRDefault="00A23BC4" w:rsidP="001705B7">
      <w:pPr>
        <w:spacing w:after="120" w:line="240" w:lineRule="auto"/>
        <w:jc w:val="both"/>
        <w:rPr>
          <w:rFonts w:ascii="Times New Roman" w:hAnsi="Times New Roman"/>
          <w:sz w:val="24"/>
          <w:szCs w:val="24"/>
        </w:rPr>
      </w:pPr>
      <w:r w:rsidRPr="00F101FB">
        <w:rPr>
          <w:rFonts w:ascii="Times New Roman" w:hAnsi="Times New Roman"/>
          <w:sz w:val="24"/>
          <w:szCs w:val="24"/>
        </w:rPr>
        <w:t xml:space="preserve">Intelektuālais kapitāls kā jēdziens radās konstatējot tā starpību starp tirgus un uzskaites vērtību (Sveiby, 1997; Brooking, 1997; Bontis, 1998; Edvinson, 2000; Joia, 2000; Bontis 2002 a, b; Pike et.al., 2002), kā arī tas parāda spēju ieviest jauninājumus, kas noteiks turpmāko organizācijas darbību (Bontis, 2002a). Tā pat vairāki autori uzsver to, ka intelektuālais kapitāls uzņēmumā ir ļoti spēcīgs resurss (Barney, 1991; Alvarez and Busenitz, 2001; Cohen and Pruzac, 2001; SubbaNarasimha, 2001; Bontis, 2002c; Nahapiet un Gloshal, 2002) un bieži vien tiek atzīts par vissvarīgāko vērtību (Stewart, 1997; Cohen un Pruzac, 2001; Nahapiet un Ghoshal, 2002) un kā arī to, ka tas ir visnozīmīgākais aktīvs uzņēmumā (Wiig, 1997). Svarīgi ir arī tas, ka intelektuālis kapitāls ir nemateriāls aktīvs (Sveiby, 1997; Canibano et.al, 1999; Stewart, 1998; Sanchez et al, 200; Caddy et al, 2001) un bieži vien tiek uzskatīts par konkurences priekšrocības pamatu (Birchall un Tovstiga, 1999; Davenport un Pruzac, 2000) </w:t>
      </w:r>
    </w:p>
    <w:p w:rsidR="00A23BC4" w:rsidRPr="00F101FB" w:rsidRDefault="00A23BC4" w:rsidP="001705B7">
      <w:pPr>
        <w:spacing w:after="120" w:line="240" w:lineRule="auto"/>
        <w:jc w:val="both"/>
        <w:rPr>
          <w:rFonts w:ascii="Times New Roman" w:hAnsi="Times New Roman"/>
          <w:sz w:val="24"/>
          <w:szCs w:val="24"/>
        </w:rPr>
      </w:pPr>
      <w:r w:rsidRPr="00F101FB">
        <w:rPr>
          <w:rFonts w:ascii="Times New Roman" w:hAnsi="Times New Roman"/>
          <w:sz w:val="24"/>
          <w:szCs w:val="24"/>
        </w:rPr>
        <w:t>Stewart intelektuālo kapitālu aplūko kā zināšanas, informāciju, intelektuālo īpašumu un pieredzi, kas tiek izmantotas, lai radītu bagātību (Stewart, 1997). Savukārt Edvinsson (Bontis, 2000) skaidro intelektuālo kapitālu kā pieredzi, organizatoriskās tehnoloģijas, klientu attiecības un profesionālās iemaņas, kas nodrošina uzņēmuma konkurences priekšrocības tirgū.</w:t>
      </w:r>
    </w:p>
    <w:p w:rsidR="00A23BC4" w:rsidRDefault="00A23BC4" w:rsidP="00273768">
      <w:pPr>
        <w:spacing w:after="0" w:line="240" w:lineRule="auto"/>
        <w:jc w:val="both"/>
        <w:rPr>
          <w:rFonts w:ascii="Times New Roman" w:hAnsi="Times New Roman"/>
          <w:sz w:val="24"/>
          <w:szCs w:val="24"/>
        </w:rPr>
      </w:pPr>
      <w:r w:rsidRPr="00F101FB">
        <w:rPr>
          <w:rFonts w:ascii="Times New Roman" w:hAnsi="Times New Roman"/>
          <w:sz w:val="24"/>
          <w:szCs w:val="24"/>
        </w:rPr>
        <w:t xml:space="preserve">Bontis (2002) uzsver, ka intelektuālais kapitāls ir zināšanu krājums, kas pastāv uzņēmumā. Intelektuālais kapitāls ir tik atšķirīgs resurss no ierastajiem resursiem, kā zemes un finanšu resursiem. Pretēji iepriekšējiem resursiem intelektuālo kapitālu var </w:t>
      </w:r>
      <w:r w:rsidR="002C6E65" w:rsidRPr="00F101FB">
        <w:rPr>
          <w:rFonts w:ascii="Times New Roman" w:hAnsi="Times New Roman"/>
          <w:sz w:val="24"/>
          <w:szCs w:val="24"/>
        </w:rPr>
        <w:t>palielināt (Teece, 1998; Zack, 2002; Garud un Kumaraswamy, 2002).</w:t>
      </w:r>
    </w:p>
    <w:p w:rsidR="00273768" w:rsidRDefault="00273768" w:rsidP="00273768">
      <w:pPr>
        <w:spacing w:after="0" w:line="240" w:lineRule="auto"/>
        <w:jc w:val="both"/>
        <w:rPr>
          <w:rFonts w:ascii="Times New Roman" w:hAnsi="Times New Roman"/>
          <w:sz w:val="24"/>
          <w:szCs w:val="24"/>
        </w:rPr>
      </w:pPr>
    </w:p>
    <w:p w:rsidR="00A23BC4" w:rsidRDefault="00A23BC4" w:rsidP="00273768">
      <w:pPr>
        <w:spacing w:after="0" w:line="240" w:lineRule="auto"/>
        <w:rPr>
          <w:rFonts w:ascii="Times New Roman" w:hAnsi="Times New Roman"/>
          <w:b/>
          <w:sz w:val="24"/>
          <w:szCs w:val="24"/>
        </w:rPr>
      </w:pPr>
      <w:r w:rsidRPr="00F101FB">
        <w:rPr>
          <w:rFonts w:ascii="Times New Roman" w:hAnsi="Times New Roman"/>
          <w:b/>
          <w:sz w:val="24"/>
          <w:szCs w:val="24"/>
        </w:rPr>
        <w:t>Metodoloģija</w:t>
      </w:r>
    </w:p>
    <w:p w:rsidR="00273768" w:rsidRPr="00F101FB" w:rsidRDefault="00273768" w:rsidP="00273768">
      <w:pPr>
        <w:spacing w:after="0" w:line="240" w:lineRule="auto"/>
        <w:rPr>
          <w:rFonts w:ascii="Times New Roman" w:hAnsi="Times New Roman"/>
          <w:b/>
          <w:sz w:val="24"/>
          <w:szCs w:val="24"/>
        </w:rPr>
      </w:pPr>
    </w:p>
    <w:p w:rsidR="00A23BC4" w:rsidRPr="00F101FB" w:rsidRDefault="00A23BC4" w:rsidP="005A0C37">
      <w:pPr>
        <w:spacing w:after="120" w:line="240" w:lineRule="auto"/>
        <w:jc w:val="both"/>
        <w:rPr>
          <w:rFonts w:ascii="Times New Roman" w:hAnsi="Times New Roman"/>
          <w:sz w:val="24"/>
          <w:szCs w:val="24"/>
        </w:rPr>
      </w:pPr>
      <w:r w:rsidRPr="00F101FB">
        <w:rPr>
          <w:rFonts w:ascii="Times New Roman" w:hAnsi="Times New Roman"/>
          <w:sz w:val="24"/>
          <w:szCs w:val="24"/>
        </w:rPr>
        <w:t>Pētījums tika veikts 2010.gada augusta un septembra mēnesī sešās bankās un ārzemju banku pārstāvētajās filiālēs, kas darbojas Latvijā, lai novērtētu zināšanu vadīšanas un intelektuālā kapitāla ietekmi uz banku finanšu rādītājiem un saistību starp formālo un neformālo mentoringu un zināšanām, kā arī noteiktu darbinieku motivācijas līmeni. Datu iegūšana tika veiktas sekojošas darbības: intervijas, anketēšana, interviju un anketēšanas mix un komercbanku gada pārskatu finanšu analīze. Pētījuma laikā iegūtie dati tika apkopoti un attēloti grafiski.</w:t>
      </w:r>
    </w:p>
    <w:p w:rsidR="00A23BC4" w:rsidRPr="00F101FB" w:rsidRDefault="00A23BC4" w:rsidP="00F101FB">
      <w:pPr>
        <w:spacing w:after="0" w:line="240" w:lineRule="auto"/>
        <w:rPr>
          <w:rFonts w:ascii="Times New Roman" w:hAnsi="Times New Roman"/>
          <w:i/>
          <w:sz w:val="24"/>
          <w:szCs w:val="24"/>
        </w:rPr>
      </w:pPr>
      <w:r w:rsidRPr="00F101FB">
        <w:rPr>
          <w:rFonts w:ascii="Times New Roman" w:hAnsi="Times New Roman"/>
          <w:i/>
          <w:sz w:val="24"/>
          <w:szCs w:val="24"/>
        </w:rPr>
        <w:t>Intervijas</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Intervijas tika veiktas katrā no sešām bankām intervējot pa vienam vidējā līmeņa vadītājam, līdz ar to pētījuma veikšanai tika izvirzīti divi pamatjautājumi organizatoriskajā līmenī:</w:t>
      </w:r>
    </w:p>
    <w:p w:rsidR="00A23BC4" w:rsidRPr="00F101FB" w:rsidRDefault="00A23BC4" w:rsidP="005A0C37">
      <w:pPr>
        <w:numPr>
          <w:ilvl w:val="0"/>
          <w:numId w:val="24"/>
        </w:numPr>
        <w:spacing w:after="0" w:line="240" w:lineRule="auto"/>
        <w:jc w:val="both"/>
        <w:rPr>
          <w:rFonts w:ascii="Times New Roman" w:hAnsi="Times New Roman"/>
          <w:sz w:val="24"/>
          <w:szCs w:val="24"/>
        </w:rPr>
      </w:pPr>
      <w:r w:rsidRPr="00F101FB">
        <w:rPr>
          <w:rFonts w:ascii="Times New Roman" w:hAnsi="Times New Roman"/>
          <w:sz w:val="24"/>
          <w:szCs w:val="24"/>
        </w:rPr>
        <w:lastRenderedPageBreak/>
        <w:t>Kāda ir banku attieksme pret zināšanu pārvaldību?</w:t>
      </w:r>
    </w:p>
    <w:p w:rsidR="00A23BC4" w:rsidRPr="00F101FB" w:rsidRDefault="00A23BC4" w:rsidP="005A0C37">
      <w:pPr>
        <w:numPr>
          <w:ilvl w:val="0"/>
          <w:numId w:val="24"/>
        </w:numPr>
        <w:spacing w:after="0" w:line="240" w:lineRule="auto"/>
        <w:jc w:val="both"/>
        <w:rPr>
          <w:rFonts w:ascii="Times New Roman" w:hAnsi="Times New Roman"/>
          <w:sz w:val="24"/>
          <w:szCs w:val="24"/>
        </w:rPr>
      </w:pPr>
      <w:r w:rsidRPr="00F101FB">
        <w:rPr>
          <w:rFonts w:ascii="Times New Roman" w:hAnsi="Times New Roman"/>
          <w:sz w:val="24"/>
          <w:szCs w:val="24"/>
        </w:rPr>
        <w:t>Kāda ir banku attieksme pret intelektuālo kapitālu?</w:t>
      </w:r>
    </w:p>
    <w:p w:rsidR="00A23BC4" w:rsidRPr="00F101FB" w:rsidRDefault="00A23BC4" w:rsidP="005662AB">
      <w:pPr>
        <w:spacing w:before="120" w:after="120" w:line="240" w:lineRule="auto"/>
        <w:jc w:val="both"/>
        <w:rPr>
          <w:rFonts w:ascii="Times New Roman" w:hAnsi="Times New Roman"/>
          <w:sz w:val="24"/>
          <w:szCs w:val="24"/>
        </w:rPr>
      </w:pPr>
      <w:r w:rsidRPr="00F101FB">
        <w:rPr>
          <w:rFonts w:ascii="Times New Roman" w:hAnsi="Times New Roman"/>
          <w:sz w:val="24"/>
          <w:szCs w:val="24"/>
        </w:rPr>
        <w:t xml:space="preserve">Šī kvalitatīvā pētījuma pamatā bija intervijas satura analīze un 100 punktu noteikšanas skala. Visas intervijas sastāv no slēgta un atvērta tipa jautājumiem kopkaitā 12. Interviju izmantošana ļāva mums iegūt datus un izdarīt attiecīgos secinājumus par to, kā zināšanas tiek pārvaldītas katrā bankā un kā tās spēj ietekmēt finanšu radītājus. </w:t>
      </w:r>
    </w:p>
    <w:p w:rsidR="00A23BC4" w:rsidRPr="00F101FB" w:rsidRDefault="00A23BC4" w:rsidP="005662AB">
      <w:pPr>
        <w:spacing w:before="120" w:after="120" w:line="240" w:lineRule="auto"/>
        <w:jc w:val="both"/>
        <w:rPr>
          <w:rFonts w:ascii="Times New Roman" w:hAnsi="Times New Roman"/>
          <w:sz w:val="24"/>
          <w:szCs w:val="24"/>
        </w:rPr>
      </w:pPr>
      <w:r w:rsidRPr="00F101FB">
        <w:rPr>
          <w:rFonts w:ascii="Times New Roman" w:hAnsi="Times New Roman"/>
          <w:sz w:val="24"/>
          <w:szCs w:val="24"/>
        </w:rPr>
        <w:t>Pēc intervijas katrs intervējamais tika lūgts aizpildīt divas lappuses par viņa/ viņas priekšstatiem par zināšanu vadību un intelektuālo kapitālu.</w:t>
      </w:r>
    </w:p>
    <w:p w:rsidR="00A23BC4" w:rsidRPr="00F101FB" w:rsidRDefault="00A23BC4" w:rsidP="00F101FB">
      <w:pPr>
        <w:spacing w:after="0" w:line="240" w:lineRule="auto"/>
        <w:rPr>
          <w:rFonts w:ascii="Times New Roman" w:hAnsi="Times New Roman"/>
          <w:i/>
          <w:sz w:val="24"/>
          <w:szCs w:val="24"/>
        </w:rPr>
      </w:pPr>
      <w:r w:rsidRPr="00F101FB">
        <w:rPr>
          <w:rFonts w:ascii="Times New Roman" w:hAnsi="Times New Roman"/>
          <w:i/>
          <w:sz w:val="24"/>
          <w:szCs w:val="24"/>
        </w:rPr>
        <w:t>Anketēšana</w:t>
      </w:r>
    </w:p>
    <w:p w:rsidR="00A23BC4" w:rsidRPr="00F101FB" w:rsidRDefault="00A23BC4" w:rsidP="0054607A">
      <w:pPr>
        <w:spacing w:after="120" w:line="240" w:lineRule="auto"/>
        <w:jc w:val="both"/>
        <w:rPr>
          <w:rFonts w:ascii="Times New Roman" w:hAnsi="Times New Roman"/>
          <w:sz w:val="24"/>
          <w:szCs w:val="24"/>
        </w:rPr>
      </w:pPr>
      <w:r w:rsidRPr="00F101FB">
        <w:rPr>
          <w:rFonts w:ascii="Times New Roman" w:hAnsi="Times New Roman"/>
          <w:sz w:val="24"/>
          <w:szCs w:val="24"/>
        </w:rPr>
        <w:t xml:space="preserve">Lai uzzinātu darbinieku kompetenču līmeni un izpratni par zināšanu un intelektuālā kapitāla nozīmi un kā vienu no nozīmīgākajiem nemateriālajiem rādītājiem, tika veikta anketēšana ar 22 jautājumiem, kurā piedalījās 30 dažādi vidējā un augstākā līmeņa privātpersonu un korporatīvo klientu menedžeri no tām pašām bankām, kurās tika veikta arī intervēšana. </w:t>
      </w:r>
    </w:p>
    <w:p w:rsidR="00A23BC4" w:rsidRPr="00F101FB" w:rsidRDefault="00A23BC4" w:rsidP="0054607A">
      <w:pPr>
        <w:spacing w:after="120" w:line="240" w:lineRule="auto"/>
        <w:jc w:val="both"/>
        <w:rPr>
          <w:rFonts w:ascii="Times New Roman" w:hAnsi="Times New Roman"/>
          <w:sz w:val="24"/>
          <w:szCs w:val="24"/>
        </w:rPr>
      </w:pPr>
      <w:r w:rsidRPr="00F101FB">
        <w:rPr>
          <w:rFonts w:ascii="Times New Roman" w:hAnsi="Times New Roman"/>
          <w:sz w:val="24"/>
          <w:szCs w:val="24"/>
        </w:rPr>
        <w:t>Dati tika iegūti, izmantojot anketu, kas ietver jautājumus par demogrāfisko, formālo un neformālo konsultāciju, zināšanu vadīšanu un intelektuālā kapitāla un motivācijas mainīgajiem lielumiem. Mērījumi tika veikti uz piecu punktu skalas (1- pilnībā nepiekrītu, 5- pilnībā piekrītu).</w:t>
      </w:r>
    </w:p>
    <w:p w:rsidR="00A23BC4" w:rsidRPr="00F101FB" w:rsidRDefault="00A23BC4" w:rsidP="0054607A">
      <w:pPr>
        <w:spacing w:after="120" w:line="240" w:lineRule="auto"/>
        <w:jc w:val="both"/>
        <w:rPr>
          <w:rFonts w:ascii="Times New Roman" w:hAnsi="Times New Roman"/>
          <w:sz w:val="24"/>
          <w:szCs w:val="24"/>
        </w:rPr>
      </w:pPr>
      <w:r w:rsidRPr="00F101FB">
        <w:rPr>
          <w:rFonts w:ascii="Times New Roman" w:hAnsi="Times New Roman"/>
          <w:sz w:val="24"/>
          <w:szCs w:val="24"/>
        </w:rPr>
        <w:t>Pēc iegūtajiem anketēšanas datiem rezultāti tika apkopoti, lai noteiktu izpratni par formālu un neformālu konsultāciju (neatkarīgu mainīgo) un tā lomu veicot zināšanu apmaiņu, zināšanu saglabāšanu un izmantošanu (atkarībā no mainīgajiem), kā arī intelektuālā kapitāla klātesamību bankā un tā ietekmi uz bankas finanšu rādītājiem un vai bankā ir izstrādāta motivācijas sistēma, kas motivē darbiniekus izmantot savas zināšanas.</w:t>
      </w:r>
    </w:p>
    <w:p w:rsidR="00A23BC4" w:rsidRPr="00F101FB" w:rsidRDefault="00A23BC4" w:rsidP="0054607A">
      <w:pPr>
        <w:spacing w:after="120" w:line="240" w:lineRule="auto"/>
        <w:rPr>
          <w:rFonts w:ascii="Times New Roman" w:hAnsi="Times New Roman"/>
          <w:i/>
          <w:sz w:val="24"/>
          <w:szCs w:val="24"/>
        </w:rPr>
      </w:pPr>
      <w:r w:rsidRPr="00F101FB">
        <w:rPr>
          <w:rFonts w:ascii="Times New Roman" w:hAnsi="Times New Roman"/>
          <w:i/>
          <w:sz w:val="24"/>
          <w:szCs w:val="24"/>
        </w:rPr>
        <w:t>Interviju un anketēšanas mix</w:t>
      </w:r>
    </w:p>
    <w:p w:rsidR="00A23BC4" w:rsidRPr="00F101FB" w:rsidRDefault="00A23BC4" w:rsidP="0054607A">
      <w:pPr>
        <w:spacing w:after="120" w:line="240" w:lineRule="auto"/>
        <w:jc w:val="both"/>
        <w:rPr>
          <w:rFonts w:ascii="Times New Roman" w:hAnsi="Times New Roman"/>
          <w:sz w:val="24"/>
          <w:szCs w:val="24"/>
        </w:rPr>
      </w:pPr>
      <w:r w:rsidRPr="00F101FB">
        <w:rPr>
          <w:rFonts w:ascii="Times New Roman" w:hAnsi="Times New Roman"/>
          <w:sz w:val="24"/>
          <w:szCs w:val="24"/>
        </w:rPr>
        <w:t>Lai noteiktu katras bankas zināšanu vadīšanas un intelektuālā kapitāla radītāju lielumus gan no darbinieku, gan no vadītāju puses, tika veikta interviju un anketēšanas rezultātu apkopojums, tādejādi izveidojot katras bankas kvalitatīvu zināšanu vadīšanas un intelektuālā kapitāla attēlu.</w:t>
      </w:r>
    </w:p>
    <w:p w:rsidR="00A23BC4" w:rsidRPr="00F101FB" w:rsidRDefault="00A23BC4" w:rsidP="00F101FB">
      <w:pPr>
        <w:spacing w:after="0" w:line="240" w:lineRule="auto"/>
        <w:rPr>
          <w:rFonts w:ascii="Times New Roman" w:hAnsi="Times New Roman"/>
          <w:i/>
          <w:sz w:val="24"/>
          <w:szCs w:val="24"/>
        </w:rPr>
      </w:pPr>
      <w:r w:rsidRPr="00F101FB">
        <w:rPr>
          <w:rFonts w:ascii="Times New Roman" w:hAnsi="Times New Roman"/>
          <w:i/>
          <w:sz w:val="24"/>
          <w:szCs w:val="24"/>
        </w:rPr>
        <w:t>Komercbanku gada pārskati</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 xml:space="preserve">Ceturtajā posmā tika veikta iepriekš aptaujāto un intervēto banku finanšu stabilitātes rādītāju aprēķins, izmantojot 2010.gada pirmā ceturkšņa pārskatus. Pēc iegūtajiem datiem varēja noteikt zināšanu vadīšanas un intelektuālā kapitāla līmeni katrā no bankām un veikt to salīdzināšanu ar finanšu datiem un iegūtu katras bankas kvalitatīvu attēlu. </w:t>
      </w:r>
    </w:p>
    <w:p w:rsidR="0054607A" w:rsidRDefault="0054607A" w:rsidP="0054607A">
      <w:pPr>
        <w:spacing w:after="0" w:line="240" w:lineRule="auto"/>
        <w:rPr>
          <w:rFonts w:ascii="Times New Roman" w:hAnsi="Times New Roman"/>
          <w:b/>
          <w:sz w:val="24"/>
          <w:szCs w:val="24"/>
        </w:rPr>
      </w:pPr>
    </w:p>
    <w:p w:rsidR="00A23BC4" w:rsidRPr="00F101FB" w:rsidRDefault="00A23BC4" w:rsidP="0054607A">
      <w:pPr>
        <w:spacing w:after="0" w:line="240" w:lineRule="auto"/>
        <w:rPr>
          <w:rFonts w:ascii="Times New Roman" w:hAnsi="Times New Roman"/>
          <w:b/>
          <w:sz w:val="24"/>
          <w:szCs w:val="24"/>
        </w:rPr>
      </w:pPr>
      <w:r w:rsidRPr="00F101FB">
        <w:rPr>
          <w:rFonts w:ascii="Times New Roman" w:hAnsi="Times New Roman"/>
          <w:b/>
          <w:sz w:val="24"/>
          <w:szCs w:val="24"/>
        </w:rPr>
        <w:t>Pētījuma rezultāti</w:t>
      </w:r>
    </w:p>
    <w:p w:rsidR="00A23BC4" w:rsidRPr="00F101FB" w:rsidRDefault="00A23BC4" w:rsidP="00F101FB">
      <w:pPr>
        <w:spacing w:after="0" w:line="240" w:lineRule="auto"/>
        <w:rPr>
          <w:rFonts w:ascii="Times New Roman" w:hAnsi="Times New Roman"/>
          <w:i/>
          <w:sz w:val="24"/>
          <w:szCs w:val="24"/>
        </w:rPr>
      </w:pPr>
      <w:r w:rsidRPr="00F101FB">
        <w:rPr>
          <w:rFonts w:ascii="Times New Roman" w:hAnsi="Times New Roman"/>
          <w:i/>
          <w:sz w:val="24"/>
          <w:szCs w:val="24"/>
        </w:rPr>
        <w:t>Intervijas</w:t>
      </w:r>
    </w:p>
    <w:p w:rsidR="00A23BC4" w:rsidRPr="00F101FB" w:rsidRDefault="00A23BC4" w:rsidP="0054607A">
      <w:pPr>
        <w:spacing w:after="120" w:line="240" w:lineRule="auto"/>
        <w:jc w:val="both"/>
        <w:rPr>
          <w:rFonts w:ascii="Times New Roman" w:hAnsi="Times New Roman"/>
          <w:sz w:val="24"/>
          <w:szCs w:val="24"/>
        </w:rPr>
      </w:pPr>
      <w:r w:rsidRPr="00F101FB">
        <w:rPr>
          <w:rFonts w:ascii="Times New Roman" w:hAnsi="Times New Roman"/>
          <w:sz w:val="24"/>
          <w:szCs w:val="24"/>
        </w:rPr>
        <w:t>Interviju rezultāti tika apkopoti izmantojot satura analīzi, tādejādi pārliecinoties, ka jēdzieni „Zināšanu vadīšana” un „Intelektuālais kapitāls” ir plaši pazīstami jēdzieni. Kā arī nosakot darba novērtēšanas iespējas, apmācību un tālāko attīstību. Intelektuālā kapitāla un zināšanu vadīšanas piemērus, kurus uzskaita intervējamie ir visciešākajā veidā saistīti ar bankas struktūru, t.sk. banku iekšējās sistēmas, darbinieku apmācību un darbu komandā.</w:t>
      </w:r>
    </w:p>
    <w:p w:rsidR="00A23BC4" w:rsidRPr="00F101FB" w:rsidRDefault="00A23BC4" w:rsidP="0054607A">
      <w:pPr>
        <w:spacing w:after="120" w:line="240" w:lineRule="auto"/>
        <w:jc w:val="both"/>
        <w:rPr>
          <w:rFonts w:ascii="Times New Roman" w:hAnsi="Times New Roman"/>
          <w:sz w:val="24"/>
          <w:szCs w:val="24"/>
        </w:rPr>
      </w:pPr>
      <w:r w:rsidRPr="00F101FB">
        <w:rPr>
          <w:rFonts w:ascii="Times New Roman" w:hAnsi="Times New Roman"/>
          <w:sz w:val="24"/>
          <w:szCs w:val="24"/>
        </w:rPr>
        <w:t>Iegūtie dati no demogrāfiskajiem un personīgajiem jautājumiem parādīja, ka no visiem intervētajiem 33% ir sievietes un 67% ir vīrieši, vidēji 34 gadus veci ar dažāda līmeņa cilvēkkapitāla zināšanām bankā. Vidēji intervējamie vadošā amatā konkrētajā bankā atrodas 2.5 gadus, bet kopumā vidēji esošās bankas finanšu pakalpojumu nozarē strādā 5 gadus. Katra intervija ilga apmēram 20.64 minūtes, neskaitot laiku, kad tika veikta anketēšana par intervējamo priekšstatiem par zināšanu vadīšanu, intelektuālo kapitālu un tā ietekmi uz finanšu rādītājiem.</w:t>
      </w:r>
    </w:p>
    <w:p w:rsidR="00A23BC4" w:rsidRPr="00F101FB" w:rsidRDefault="00A23BC4" w:rsidP="0054607A">
      <w:pPr>
        <w:spacing w:after="120" w:line="240" w:lineRule="auto"/>
        <w:jc w:val="both"/>
        <w:rPr>
          <w:rFonts w:ascii="Times New Roman" w:hAnsi="Times New Roman"/>
          <w:sz w:val="24"/>
          <w:szCs w:val="24"/>
        </w:rPr>
      </w:pPr>
      <w:r w:rsidRPr="00F101FB">
        <w:rPr>
          <w:rFonts w:ascii="Times New Roman" w:hAnsi="Times New Roman"/>
          <w:sz w:val="24"/>
          <w:szCs w:val="24"/>
        </w:rPr>
        <w:t>Dati no intervijām un iegūtā informācijas ir apkopoti nākamajos grafiskajos attēlos.</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 xml:space="preserve">Uz jautājumiem, „Vai bankās tiek veikta zināšanu vadīšanas pārvaldība?”, „Vai tiek veikts zināšanu vadības atspoguļojums bankas iekšējos dokumentos?”, kā arī, „Vai zināšanu vadības </w:t>
      </w:r>
      <w:r w:rsidRPr="00F101FB">
        <w:rPr>
          <w:rFonts w:ascii="Times New Roman" w:hAnsi="Times New Roman"/>
          <w:sz w:val="24"/>
          <w:szCs w:val="24"/>
        </w:rPr>
        <w:lastRenderedPageBreak/>
        <w:t>uzskaitei ir zināšanu vadīšanas menedžeris, kas veic visu zināšanu uzskaiti?”, iegūtie dati 1.attēlā parāda, ka 50% no intervētajiem nav zināšanu vadīšanas pārvaldība, banka 1 par šī jautājuma nepieciešamību sāk domāt, banka 3 un 5 nav pārliecinātas vai zināšanu vadīšana bankā tiek veikta. Savukārt runājot par zināšanu uzskaiti bankas dokumentos, ļoti labi redzams, ka banka 1 veic šādu uzskaiti, savukārt 50% intervējamo šāda uzskaite netiek veikta vispār. Runājot par zināšanu menedžeri, dati parādīja, ka nevienā no bankām zināšanu vadīšanas uzskaitei nav speciāls darbinieks, kas veiktu visas funkcijas, kas saistītas tieši ar zināšanām.</w:t>
      </w:r>
    </w:p>
    <w:p w:rsidR="00A23BC4" w:rsidRPr="00F101FB" w:rsidRDefault="00A23BC4" w:rsidP="00F101FB">
      <w:pPr>
        <w:spacing w:after="0" w:line="240" w:lineRule="auto"/>
        <w:jc w:val="both"/>
        <w:rPr>
          <w:rFonts w:ascii="Times New Roman" w:hAnsi="Times New Roman"/>
          <w:sz w:val="24"/>
          <w:szCs w:val="24"/>
        </w:rPr>
      </w:pPr>
    </w:p>
    <w:p w:rsidR="00A23BC4" w:rsidRPr="00F101FB" w:rsidRDefault="00A23BC4" w:rsidP="00F101FB">
      <w:pPr>
        <w:spacing w:after="0" w:line="240" w:lineRule="auto"/>
        <w:jc w:val="both"/>
        <w:rPr>
          <w:rFonts w:ascii="Times New Roman" w:hAnsi="Times New Roman"/>
          <w:sz w:val="24"/>
          <w:szCs w:val="24"/>
        </w:rPr>
      </w:pPr>
    </w:p>
    <w:p w:rsidR="00A23BC4" w:rsidRPr="00F101FB" w:rsidRDefault="007F325F" w:rsidP="00F101FB">
      <w:pPr>
        <w:spacing w:after="0" w:line="240" w:lineRule="auto"/>
        <w:jc w:val="center"/>
        <w:rPr>
          <w:rFonts w:ascii="Times New Roman" w:hAnsi="Times New Roman"/>
          <w:sz w:val="24"/>
          <w:szCs w:val="24"/>
        </w:rPr>
      </w:pPr>
      <w:r>
        <w:rPr>
          <w:rFonts w:ascii="Times New Roman" w:hAnsi="Times New Roman"/>
          <w:noProof/>
          <w:sz w:val="24"/>
          <w:szCs w:val="24"/>
          <w:lang w:eastAsia="lv-LV"/>
        </w:rPr>
        <w:drawing>
          <wp:inline distT="0" distB="0" distL="0" distR="0">
            <wp:extent cx="3832765" cy="2233416"/>
            <wp:effectExtent l="10223" t="4959" r="5112" b="0"/>
            <wp:docPr id="1"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23BC4" w:rsidRPr="00F101FB" w:rsidRDefault="00A23BC4" w:rsidP="00F101FB">
      <w:pPr>
        <w:spacing w:after="0" w:line="240" w:lineRule="auto"/>
        <w:jc w:val="both"/>
        <w:rPr>
          <w:rFonts w:ascii="Times New Roman" w:hAnsi="Times New Roman"/>
          <w:sz w:val="24"/>
          <w:szCs w:val="24"/>
        </w:rPr>
      </w:pPr>
    </w:p>
    <w:p w:rsidR="00A23BC4" w:rsidRPr="00F101FB" w:rsidRDefault="003743B6" w:rsidP="003743B6">
      <w:pPr>
        <w:spacing w:after="0" w:line="240" w:lineRule="auto"/>
        <w:jc w:val="center"/>
        <w:rPr>
          <w:rFonts w:ascii="Times New Roman" w:hAnsi="Times New Roman"/>
          <w:sz w:val="24"/>
          <w:szCs w:val="24"/>
        </w:rPr>
      </w:pPr>
      <w:r>
        <w:rPr>
          <w:rFonts w:ascii="Times New Roman" w:hAnsi="Times New Roman"/>
          <w:sz w:val="24"/>
          <w:szCs w:val="24"/>
        </w:rPr>
        <w:t>1.att.</w:t>
      </w:r>
      <w:r w:rsidR="00A23BC4" w:rsidRPr="00F101FB">
        <w:rPr>
          <w:rFonts w:ascii="Times New Roman" w:hAnsi="Times New Roman"/>
          <w:sz w:val="24"/>
          <w:szCs w:val="24"/>
        </w:rPr>
        <w:t xml:space="preserve"> Zināšanu vadīšanas pārval</w:t>
      </w:r>
      <w:r w:rsidR="0087426C" w:rsidRPr="00F101FB">
        <w:rPr>
          <w:rFonts w:ascii="Times New Roman" w:hAnsi="Times New Roman"/>
          <w:sz w:val="24"/>
          <w:szCs w:val="24"/>
        </w:rPr>
        <w:t>dība bankās</w:t>
      </w:r>
    </w:p>
    <w:p w:rsidR="00A23BC4" w:rsidRPr="00F101FB" w:rsidRDefault="00A23BC4" w:rsidP="00F101FB">
      <w:pPr>
        <w:spacing w:after="0" w:line="240" w:lineRule="auto"/>
        <w:jc w:val="center"/>
        <w:rPr>
          <w:rFonts w:ascii="Times New Roman" w:hAnsi="Times New Roman"/>
          <w:sz w:val="24"/>
          <w:szCs w:val="24"/>
        </w:rPr>
      </w:pP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Uz jautājumiem, „Vai bankās tiek veikta intelektuālā kapitāla pārvaldība?”, „Vai tiek veikts intelektuālā kapitāla atspoguļojums bankas iekšējos dokumentos?”, kā arī, „Vai intelektuālā kapitāla uzskaitei ir intelektuālā kapitāla menedžeris, kas veic visu intelektuālā kapitāla uzskaiti?”, iegūtie dati 2.attēlā parādīja, ka nevienā no sešām bankām netiek veikta intelektuālā kapitāla pārvaldība un līdz ar to arī nav nepieciešamība pēc intelektuālā kapitāla menedžera, savukārt runājot par intelektuālo kapitālu bankas dokumentos banka 2 apgalvoja, ka intelektuālais kapitāls tiek atspoguļots bankas iekšējos dokumentos.</w:t>
      </w:r>
    </w:p>
    <w:p w:rsidR="00A23BC4" w:rsidRPr="00F101FB" w:rsidRDefault="00A23BC4" w:rsidP="00F101FB">
      <w:pPr>
        <w:spacing w:after="0" w:line="240" w:lineRule="auto"/>
        <w:jc w:val="both"/>
        <w:rPr>
          <w:rFonts w:ascii="Times New Roman" w:hAnsi="Times New Roman"/>
          <w:sz w:val="24"/>
          <w:szCs w:val="24"/>
        </w:rPr>
      </w:pPr>
    </w:p>
    <w:p w:rsidR="00A23BC4" w:rsidRPr="00F101FB" w:rsidRDefault="007F325F" w:rsidP="00F101FB">
      <w:pPr>
        <w:spacing w:after="0" w:line="240" w:lineRule="auto"/>
        <w:jc w:val="center"/>
        <w:rPr>
          <w:rFonts w:ascii="Times New Roman" w:hAnsi="Times New Roman"/>
          <w:sz w:val="24"/>
          <w:szCs w:val="24"/>
        </w:rPr>
      </w:pPr>
      <w:r>
        <w:rPr>
          <w:rFonts w:ascii="Times New Roman" w:hAnsi="Times New Roman"/>
          <w:noProof/>
          <w:sz w:val="24"/>
          <w:szCs w:val="24"/>
          <w:lang w:eastAsia="lv-LV"/>
        </w:rPr>
        <w:drawing>
          <wp:inline distT="0" distB="0" distL="0" distR="0">
            <wp:extent cx="3832765" cy="2394982"/>
            <wp:effectExtent l="10223" t="5318" r="5112" b="0"/>
            <wp:docPr id="2"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A23BC4" w:rsidRPr="00F101FB" w:rsidRDefault="00A23BC4" w:rsidP="00F101FB">
      <w:pPr>
        <w:spacing w:after="0" w:line="240" w:lineRule="auto"/>
        <w:jc w:val="both"/>
        <w:rPr>
          <w:rFonts w:ascii="Times New Roman" w:hAnsi="Times New Roman"/>
          <w:noProof/>
          <w:sz w:val="24"/>
          <w:szCs w:val="24"/>
          <w:lang w:eastAsia="lv-LV"/>
        </w:rPr>
      </w:pPr>
    </w:p>
    <w:p w:rsidR="00A23BC4" w:rsidRPr="00F101FB" w:rsidRDefault="00C3014D" w:rsidP="00C3014D">
      <w:pPr>
        <w:spacing w:after="0" w:line="240" w:lineRule="auto"/>
        <w:jc w:val="center"/>
        <w:rPr>
          <w:rFonts w:ascii="Times New Roman" w:hAnsi="Times New Roman"/>
          <w:sz w:val="24"/>
          <w:szCs w:val="24"/>
        </w:rPr>
      </w:pPr>
      <w:r>
        <w:rPr>
          <w:rFonts w:ascii="Times New Roman" w:hAnsi="Times New Roman"/>
          <w:sz w:val="24"/>
          <w:szCs w:val="24"/>
        </w:rPr>
        <w:t>2.att.</w:t>
      </w:r>
      <w:r w:rsidR="00A23BC4" w:rsidRPr="00F101FB">
        <w:rPr>
          <w:rFonts w:ascii="Times New Roman" w:hAnsi="Times New Roman"/>
          <w:sz w:val="24"/>
          <w:szCs w:val="24"/>
        </w:rPr>
        <w:t xml:space="preserve"> Intelektu</w:t>
      </w:r>
      <w:r w:rsidR="0087426C" w:rsidRPr="00F101FB">
        <w:rPr>
          <w:rFonts w:ascii="Times New Roman" w:hAnsi="Times New Roman"/>
          <w:sz w:val="24"/>
          <w:szCs w:val="24"/>
        </w:rPr>
        <w:t>ālā kapitāla pārvaldība bankās</w:t>
      </w:r>
    </w:p>
    <w:p w:rsidR="00F16B0E" w:rsidRPr="00F101FB" w:rsidRDefault="00F16B0E" w:rsidP="00F101FB">
      <w:pPr>
        <w:spacing w:after="0" w:line="240" w:lineRule="auto"/>
        <w:jc w:val="both"/>
        <w:rPr>
          <w:rFonts w:ascii="Times New Roman" w:hAnsi="Times New Roman"/>
          <w:sz w:val="24"/>
          <w:szCs w:val="24"/>
        </w:rPr>
      </w:pP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 xml:space="preserve">Atbildes uz jautājumiem par zināšanu vadīšanas ietekmi uz banku finanšu rezultātiem, jaunu zināšanu attīstību un tālāko zināšanu nodošanu, parāda 3.attēls sniedzot informāciju par aptaujāto uztveri zināšanu pārvaldībā. Iegūtie dati vēlreiz apliecina, ka bankām nav periodisku ziņojumu </w:t>
      </w:r>
      <w:r w:rsidRPr="00F101FB">
        <w:rPr>
          <w:rFonts w:ascii="Times New Roman" w:hAnsi="Times New Roman"/>
          <w:sz w:val="24"/>
          <w:szCs w:val="24"/>
        </w:rPr>
        <w:lastRenderedPageBreak/>
        <w:t xml:space="preserve">par zināšanu vadīšanu. Kā parāda iegūtie rezultāti, tad visi intervējamie uzskata, ka zināšanu vadīšana banku rezultātus var ietekmēt vidēji par 23 punktiem. Arī par zināšanu attīstību bankām nav vienprātīga nostāja, vienas uzsver, ka vissvarīgākā ir jaunu zināšanu attīstība – banka 1, banka, 4 un banka 6, savukārt citas, ka būtiskākais faktors ir tieši zināšanu nodošanā – banka 2, banka 3 un banka 5. </w:t>
      </w:r>
    </w:p>
    <w:p w:rsidR="00A23BC4" w:rsidRPr="00F101FB" w:rsidRDefault="00A23BC4" w:rsidP="00F101FB">
      <w:pPr>
        <w:spacing w:after="0" w:line="240" w:lineRule="auto"/>
        <w:jc w:val="center"/>
        <w:rPr>
          <w:rFonts w:ascii="Times New Roman" w:hAnsi="Times New Roman"/>
          <w:noProof/>
          <w:sz w:val="24"/>
          <w:szCs w:val="24"/>
          <w:lang w:eastAsia="lv-LV"/>
        </w:rPr>
      </w:pPr>
    </w:p>
    <w:p w:rsidR="00A23BC4" w:rsidRPr="00F101FB" w:rsidRDefault="007F325F" w:rsidP="00C3014D">
      <w:pPr>
        <w:spacing w:after="0" w:line="240" w:lineRule="auto"/>
        <w:jc w:val="center"/>
        <w:rPr>
          <w:rFonts w:ascii="Times New Roman" w:hAnsi="Times New Roman"/>
          <w:noProof/>
          <w:sz w:val="24"/>
          <w:szCs w:val="24"/>
          <w:lang w:eastAsia="lv-LV"/>
        </w:rPr>
      </w:pPr>
      <w:r>
        <w:rPr>
          <w:rFonts w:ascii="Times New Roman" w:hAnsi="Times New Roman"/>
          <w:noProof/>
          <w:sz w:val="24"/>
          <w:szCs w:val="24"/>
          <w:lang w:eastAsia="lv-LV"/>
        </w:rPr>
        <w:drawing>
          <wp:inline distT="0" distB="0" distL="0" distR="0">
            <wp:extent cx="4145838" cy="2252424"/>
            <wp:effectExtent l="11058" t="5001" r="5529" b="0"/>
            <wp:docPr id="3"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23BC4" w:rsidRPr="00F101FB" w:rsidRDefault="00A23BC4" w:rsidP="00F101FB">
      <w:pPr>
        <w:spacing w:after="0" w:line="240" w:lineRule="auto"/>
        <w:jc w:val="center"/>
        <w:rPr>
          <w:rFonts w:ascii="Times New Roman" w:hAnsi="Times New Roman"/>
          <w:noProof/>
          <w:sz w:val="24"/>
          <w:szCs w:val="24"/>
          <w:lang w:eastAsia="lv-LV"/>
        </w:rPr>
      </w:pPr>
    </w:p>
    <w:p w:rsidR="00A23BC4" w:rsidRPr="00F101FB" w:rsidRDefault="00C3014D" w:rsidP="00C3014D">
      <w:pPr>
        <w:spacing w:after="0" w:line="240" w:lineRule="auto"/>
        <w:jc w:val="center"/>
        <w:rPr>
          <w:rFonts w:ascii="Times New Roman" w:hAnsi="Times New Roman"/>
          <w:noProof/>
          <w:sz w:val="24"/>
          <w:szCs w:val="24"/>
          <w:lang w:eastAsia="lv-LV"/>
        </w:rPr>
      </w:pPr>
      <w:r>
        <w:rPr>
          <w:rFonts w:ascii="Times New Roman" w:hAnsi="Times New Roman"/>
          <w:noProof/>
          <w:sz w:val="24"/>
          <w:szCs w:val="24"/>
          <w:lang w:eastAsia="lv-LV"/>
        </w:rPr>
        <w:t>3.att.</w:t>
      </w:r>
      <w:r w:rsidR="00A23BC4" w:rsidRPr="00F101FB">
        <w:rPr>
          <w:rFonts w:ascii="Times New Roman" w:hAnsi="Times New Roman"/>
          <w:noProof/>
          <w:sz w:val="24"/>
          <w:szCs w:val="24"/>
          <w:lang w:eastAsia="lv-LV"/>
        </w:rPr>
        <w:t xml:space="preserve"> Zināšanu vadīšanas ietekme uz</w:t>
      </w:r>
      <w:r w:rsidR="0087426C" w:rsidRPr="00F101FB">
        <w:rPr>
          <w:rFonts w:ascii="Times New Roman" w:hAnsi="Times New Roman"/>
          <w:noProof/>
          <w:sz w:val="24"/>
          <w:szCs w:val="24"/>
          <w:lang w:eastAsia="lv-LV"/>
        </w:rPr>
        <w:t xml:space="preserve"> banku</w:t>
      </w:r>
      <w:r w:rsidR="00A23BC4" w:rsidRPr="00F101FB">
        <w:rPr>
          <w:rFonts w:ascii="Times New Roman" w:hAnsi="Times New Roman"/>
          <w:noProof/>
          <w:sz w:val="24"/>
          <w:szCs w:val="24"/>
          <w:lang w:eastAsia="lv-LV"/>
        </w:rPr>
        <w:t xml:space="preserve"> finanšu rādītājiem.</w:t>
      </w:r>
    </w:p>
    <w:p w:rsidR="00A23BC4" w:rsidRPr="00F101FB" w:rsidRDefault="00A23BC4" w:rsidP="00F101FB">
      <w:pPr>
        <w:spacing w:after="0" w:line="240" w:lineRule="auto"/>
        <w:jc w:val="center"/>
        <w:rPr>
          <w:rFonts w:ascii="Times New Roman" w:hAnsi="Times New Roman"/>
          <w:noProof/>
          <w:sz w:val="24"/>
          <w:szCs w:val="24"/>
          <w:lang w:eastAsia="lv-LV"/>
        </w:rPr>
      </w:pP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Atbildes uz jautājumiem par intelektuālā kapitāla ietekmi uz banku finanšu rezultātiem, tā iekšējo un ārējo struktūru un tās ietekmi, parāda 4.attēls. Iegūtie dati parādīja, ka pēc intervējamo domām intelektuālais kapitāls bankas finanšu rādītājus spēj ietekmēt par 52 punktiem. Runājot par intelektuālā kapitāla iekšējo un ārējo struktūru intervējamo domas dalās, vieni uzskata, ka noteicošā loma ir iekšējai struktūrai – banka 1. Banka 3 un banka 6, savukārt otri, ka noteicošā ir ārējā struktūra – banka 2 un banka 4, bet banka 5 uzskata, ka iekšējā un ārējā struktūra spēj ietekmēt vienādi, jeb 50:50.</w:t>
      </w:r>
    </w:p>
    <w:p w:rsidR="00A23BC4" w:rsidRPr="00F101FB" w:rsidRDefault="00A23BC4" w:rsidP="00F101FB">
      <w:pPr>
        <w:spacing w:after="0" w:line="240" w:lineRule="auto"/>
        <w:rPr>
          <w:rFonts w:ascii="Times New Roman" w:hAnsi="Times New Roman"/>
          <w:noProof/>
          <w:sz w:val="24"/>
          <w:szCs w:val="24"/>
          <w:lang w:eastAsia="lv-LV"/>
        </w:rPr>
      </w:pPr>
    </w:p>
    <w:p w:rsidR="00A23BC4" w:rsidRPr="00F101FB" w:rsidRDefault="007F325F" w:rsidP="00F101FB">
      <w:pPr>
        <w:spacing w:after="0" w:line="240" w:lineRule="auto"/>
        <w:jc w:val="center"/>
        <w:rPr>
          <w:rFonts w:ascii="Times New Roman" w:hAnsi="Times New Roman"/>
          <w:noProof/>
          <w:sz w:val="24"/>
          <w:szCs w:val="24"/>
          <w:lang w:eastAsia="lv-LV"/>
        </w:rPr>
      </w:pPr>
      <w:r>
        <w:rPr>
          <w:rFonts w:ascii="Times New Roman" w:hAnsi="Times New Roman"/>
          <w:noProof/>
          <w:sz w:val="24"/>
          <w:szCs w:val="24"/>
          <w:lang w:eastAsia="lv-LV"/>
        </w:rPr>
        <w:drawing>
          <wp:inline distT="0" distB="0" distL="0" distR="0">
            <wp:extent cx="4117377" cy="2394982"/>
            <wp:effectExtent l="10982" t="5318" r="5491" b="0"/>
            <wp:docPr id="4"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A23BC4" w:rsidRPr="00F101FB" w:rsidRDefault="00A23BC4" w:rsidP="00F101FB">
      <w:pPr>
        <w:spacing w:after="0" w:line="240" w:lineRule="auto"/>
        <w:rPr>
          <w:rFonts w:ascii="Times New Roman" w:hAnsi="Times New Roman"/>
          <w:sz w:val="24"/>
          <w:szCs w:val="24"/>
        </w:rPr>
      </w:pPr>
    </w:p>
    <w:p w:rsidR="00A23BC4" w:rsidRPr="00F101FB" w:rsidRDefault="00A23BC4" w:rsidP="00C3014D">
      <w:pPr>
        <w:spacing w:after="0" w:line="240" w:lineRule="auto"/>
        <w:jc w:val="center"/>
        <w:rPr>
          <w:rFonts w:ascii="Times New Roman" w:hAnsi="Times New Roman"/>
          <w:noProof/>
          <w:sz w:val="24"/>
          <w:szCs w:val="24"/>
          <w:lang w:eastAsia="lv-LV"/>
        </w:rPr>
      </w:pPr>
      <w:r w:rsidRPr="00F101FB">
        <w:rPr>
          <w:rFonts w:ascii="Times New Roman" w:hAnsi="Times New Roman"/>
          <w:noProof/>
          <w:sz w:val="24"/>
          <w:szCs w:val="24"/>
          <w:lang w:eastAsia="lv-LV"/>
        </w:rPr>
        <w:t>4.</w:t>
      </w:r>
      <w:r w:rsidR="00C3014D">
        <w:rPr>
          <w:rFonts w:ascii="Times New Roman" w:hAnsi="Times New Roman"/>
          <w:noProof/>
          <w:sz w:val="24"/>
          <w:szCs w:val="24"/>
          <w:lang w:eastAsia="lv-LV"/>
        </w:rPr>
        <w:t>att.</w:t>
      </w:r>
      <w:r w:rsidRPr="00F101FB">
        <w:rPr>
          <w:rFonts w:ascii="Times New Roman" w:hAnsi="Times New Roman"/>
          <w:noProof/>
          <w:sz w:val="24"/>
          <w:szCs w:val="24"/>
          <w:lang w:eastAsia="lv-LV"/>
        </w:rPr>
        <w:t xml:space="preserve"> Intelektuālā kapitāla ietekme uz</w:t>
      </w:r>
      <w:r w:rsidR="0087426C" w:rsidRPr="00F101FB">
        <w:rPr>
          <w:rFonts w:ascii="Times New Roman" w:hAnsi="Times New Roman"/>
          <w:noProof/>
          <w:sz w:val="24"/>
          <w:szCs w:val="24"/>
          <w:lang w:eastAsia="lv-LV"/>
        </w:rPr>
        <w:t xml:space="preserve"> banku</w:t>
      </w:r>
      <w:r w:rsidRPr="00F101FB">
        <w:rPr>
          <w:rFonts w:ascii="Times New Roman" w:hAnsi="Times New Roman"/>
          <w:noProof/>
          <w:sz w:val="24"/>
          <w:szCs w:val="24"/>
          <w:lang w:eastAsia="lv-LV"/>
        </w:rPr>
        <w:t xml:space="preserve"> finanšu rādītājiem</w:t>
      </w:r>
    </w:p>
    <w:p w:rsidR="00A23BC4" w:rsidRPr="00F101FB" w:rsidRDefault="00A23BC4" w:rsidP="00F101FB">
      <w:pPr>
        <w:spacing w:after="0" w:line="240" w:lineRule="auto"/>
        <w:jc w:val="right"/>
        <w:rPr>
          <w:rFonts w:ascii="Times New Roman" w:hAnsi="Times New Roman"/>
          <w:sz w:val="24"/>
          <w:szCs w:val="24"/>
        </w:rPr>
      </w:pPr>
    </w:p>
    <w:p w:rsidR="00A23BC4" w:rsidRPr="00F101FB" w:rsidRDefault="00A23BC4" w:rsidP="00C3014D">
      <w:pPr>
        <w:spacing w:after="120" w:line="240" w:lineRule="auto"/>
        <w:jc w:val="both"/>
        <w:rPr>
          <w:rFonts w:ascii="Times New Roman" w:hAnsi="Times New Roman"/>
          <w:sz w:val="24"/>
          <w:szCs w:val="24"/>
        </w:rPr>
      </w:pPr>
      <w:r w:rsidRPr="00F101FB">
        <w:rPr>
          <w:rFonts w:ascii="Times New Roman" w:hAnsi="Times New Roman"/>
          <w:sz w:val="24"/>
          <w:szCs w:val="24"/>
        </w:rPr>
        <w:t>Vairākums intervējamo atklāj, ka bankām nav pilnīga nostāja, kas veltīta tieši zināšanu vadīšanai un intelektuālajam kapitālam, kā arī par to nepieciešamību iekļaut bankas dokumentos un gadu pārskatos, līdz ar to var secināt, ka zināšanu vadīšana un intelektuālais kapitāls bankās vēl ir tikai teorētisks aspekts un tas nav pilnībā ieviests bankas dokumentos.</w:t>
      </w:r>
    </w:p>
    <w:p w:rsidR="00A23BC4" w:rsidRPr="00F101FB" w:rsidRDefault="00A23BC4" w:rsidP="00C3014D">
      <w:pPr>
        <w:spacing w:after="120" w:line="240" w:lineRule="auto"/>
        <w:jc w:val="both"/>
        <w:rPr>
          <w:rFonts w:ascii="Times New Roman" w:hAnsi="Times New Roman"/>
          <w:sz w:val="24"/>
          <w:szCs w:val="24"/>
        </w:rPr>
      </w:pPr>
      <w:r w:rsidRPr="00F101FB">
        <w:rPr>
          <w:rFonts w:ascii="Times New Roman" w:hAnsi="Times New Roman"/>
          <w:sz w:val="24"/>
          <w:szCs w:val="24"/>
        </w:rPr>
        <w:lastRenderedPageBreak/>
        <w:t>Tas, ka bankā par zināšanu vadīšanu un intelektuālu kapitālu nav viennozīmīga viedokļa, tad daži no aptaujātajiem uzsver, ka esošo zināšanu pārvaldības stratēģija rada zināšanas, kas ir saistītas ar zināšanu izmantošanas pārvaldības stratēģiju. Attiecībā uz zināšanu un intelektuālā kapitāla esamību bankā, aptaujātie sniedza vairākus piemērus, kā vienu no būtiskākajiem pieminot iekšējo kultūru.</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Iegūtie dati un satura analīze intervijās ļāva pārbaudīt arī literatūrā pieminētās teorētiskās zināšanas un intelektuālo kapitālu, piemēram:</w:t>
      </w:r>
    </w:p>
    <w:p w:rsidR="00A23BC4" w:rsidRPr="00F101FB" w:rsidRDefault="00A23BC4" w:rsidP="00C3014D">
      <w:pPr>
        <w:numPr>
          <w:ilvl w:val="0"/>
          <w:numId w:val="25"/>
        </w:numPr>
        <w:spacing w:after="0" w:line="240" w:lineRule="auto"/>
        <w:jc w:val="both"/>
        <w:rPr>
          <w:rFonts w:ascii="Times New Roman" w:hAnsi="Times New Roman"/>
          <w:sz w:val="24"/>
          <w:szCs w:val="24"/>
        </w:rPr>
      </w:pPr>
      <w:r w:rsidRPr="00F101FB">
        <w:rPr>
          <w:rFonts w:ascii="Times New Roman" w:hAnsi="Times New Roman"/>
          <w:sz w:val="24"/>
          <w:szCs w:val="24"/>
        </w:rPr>
        <w:t>Zināšanas ir sarežģīts jēdziens un tās pastāv organizācijās visnotaļ abstraktā veidā [15]: šis jēdziens ir abstrakts, bez konkrētām rīcībām, vēl diezgan teorētisks ... (banka 2) ... zināšanu vadīšana, manuprāt, ir tikai akadēmisks vārds (banka 3).</w:t>
      </w:r>
    </w:p>
    <w:p w:rsidR="00A23BC4" w:rsidRPr="00F101FB" w:rsidRDefault="00A23BC4" w:rsidP="00C3014D">
      <w:pPr>
        <w:numPr>
          <w:ilvl w:val="0"/>
          <w:numId w:val="25"/>
        </w:numPr>
        <w:spacing w:after="0" w:line="240" w:lineRule="auto"/>
        <w:jc w:val="both"/>
        <w:rPr>
          <w:rFonts w:ascii="Times New Roman" w:hAnsi="Times New Roman"/>
          <w:sz w:val="24"/>
          <w:szCs w:val="24"/>
        </w:rPr>
      </w:pPr>
      <w:r w:rsidRPr="00F101FB">
        <w:rPr>
          <w:rFonts w:ascii="Times New Roman" w:hAnsi="Times New Roman"/>
          <w:sz w:val="24"/>
          <w:szCs w:val="24"/>
        </w:rPr>
        <w:t>Zināšanu vadīšanas attīstību varētu pielīdzināt pusaudzim [16], dotajā brīdī bankā tiek strādāts pie know-how izveides centra korporatīvo klientu apkalpošanā, bet šī centra izveidē vēl ir jāiegulda liels zināšanu kapitāls un jāizveido tā struktūra, kā arī ir nepieciešams izvēlēties piemērotākos darbiniekus, kas veiktu šī centra pārvaldību pa visu Latviju (banka 1). Zināšanu vadīšanas stratēģija vēl ir kā vīzija, kura ir jāattīsta tālāk, un tikai tad var būt runa par tās pilnveides nepieciešamību (banka 4).</w:t>
      </w:r>
    </w:p>
    <w:p w:rsidR="00A23BC4" w:rsidRPr="00F101FB" w:rsidRDefault="00A23BC4" w:rsidP="00C3014D">
      <w:pPr>
        <w:numPr>
          <w:ilvl w:val="0"/>
          <w:numId w:val="25"/>
        </w:numPr>
        <w:spacing w:after="0" w:line="240" w:lineRule="auto"/>
        <w:jc w:val="both"/>
        <w:rPr>
          <w:rFonts w:ascii="Times New Roman" w:hAnsi="Times New Roman"/>
          <w:sz w:val="24"/>
          <w:szCs w:val="24"/>
        </w:rPr>
      </w:pPr>
      <w:r w:rsidRPr="00F101FB">
        <w:rPr>
          <w:rFonts w:ascii="Times New Roman" w:hAnsi="Times New Roman"/>
          <w:sz w:val="24"/>
          <w:szCs w:val="24"/>
        </w:rPr>
        <w:t>Pretēji dažādai pieejamai literatūrai zināšanu vadīšana un intelektuālais kapitāls nav viens un tas pats jēdziens, abu šo jēdzienu attiecības nebūt nav tik vienkāršas [17]. Daži no intervētājiem nepārzina šo jēdzienu atšķirības, vai tad zināšanu vadīšana un intelektuālais kapitāls nav viens un tas pats, tikai atšķirīgi nodefinēti jēdzieni? (banka 6).</w:t>
      </w:r>
    </w:p>
    <w:p w:rsidR="00A23BC4" w:rsidRPr="00F101FB" w:rsidRDefault="00A23BC4" w:rsidP="00E82641">
      <w:pPr>
        <w:spacing w:before="120" w:after="0" w:line="240" w:lineRule="auto"/>
        <w:rPr>
          <w:rFonts w:ascii="Times New Roman" w:hAnsi="Times New Roman"/>
          <w:i/>
          <w:sz w:val="24"/>
          <w:szCs w:val="24"/>
        </w:rPr>
      </w:pPr>
      <w:r w:rsidRPr="00F101FB">
        <w:rPr>
          <w:rFonts w:ascii="Times New Roman" w:hAnsi="Times New Roman"/>
          <w:i/>
          <w:sz w:val="24"/>
          <w:szCs w:val="24"/>
        </w:rPr>
        <w:t>Anketēšana</w:t>
      </w:r>
    </w:p>
    <w:p w:rsidR="00A23BC4" w:rsidRPr="00F101FB" w:rsidRDefault="00A23BC4" w:rsidP="00E82641">
      <w:pPr>
        <w:spacing w:after="120" w:line="240" w:lineRule="auto"/>
        <w:jc w:val="both"/>
        <w:rPr>
          <w:rFonts w:ascii="Times New Roman" w:hAnsi="Times New Roman"/>
          <w:sz w:val="24"/>
          <w:szCs w:val="24"/>
        </w:rPr>
      </w:pPr>
      <w:r w:rsidRPr="00F101FB">
        <w:rPr>
          <w:rFonts w:ascii="Times New Roman" w:hAnsi="Times New Roman"/>
          <w:sz w:val="24"/>
          <w:szCs w:val="24"/>
        </w:rPr>
        <w:t>Izmantojot satura analīzi tika veikta zināšanu vadīšanas, mentoringa, intelektuālā kapitāla un motivācijas sistēmas noteikšana, lai iegūtu lineārās sakarības.</w:t>
      </w:r>
    </w:p>
    <w:p w:rsidR="00A23BC4" w:rsidRPr="00F101FB" w:rsidRDefault="00A23BC4" w:rsidP="00E82641">
      <w:pPr>
        <w:spacing w:after="120" w:line="240" w:lineRule="auto"/>
        <w:jc w:val="both"/>
        <w:rPr>
          <w:rFonts w:ascii="Times New Roman" w:hAnsi="Times New Roman"/>
          <w:sz w:val="24"/>
          <w:szCs w:val="24"/>
        </w:rPr>
      </w:pPr>
      <w:r w:rsidRPr="00F101FB">
        <w:rPr>
          <w:rFonts w:ascii="Times New Roman" w:hAnsi="Times New Roman"/>
          <w:sz w:val="24"/>
          <w:szCs w:val="24"/>
        </w:rPr>
        <w:t>Iegūtie demogrāfiskie un personīgie dati parāda, ka 63% no visiem aptaujātajiem ir sievietes un 37% vīrieši, no tiem 57% pastāv korporatīvo klientu apkalpošanas segmentu, bet 43% privātpersonu apkalpošanas segmentu. 53% aptaujātie ir vecumā no 20-29 gadiem, bet 47% no 30-39 gadiem. Lielākajai daļai aptaujāto, t.i. 70% ir augstākā izglītība, 17% ir maģistra grāds, bet 13% vidējā izglītība, vidējais nostrādātais laiks šajā amatā ir 2,2 gadi. Ņemot vērā organizācijas hierarhiju visi aptaujātie atrodas trešajā vai otrajā vietā aiz nodaļu vai daļu vadītājiem, atkarībā no katras bankas struktūras. 73% aptaujāto apgalvo, ka ir bijusi pieredze kā neformāliem mentoriem, savukārt pieredze kā formāliem mentoriem ir bijusi tikai 40%.</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Apkopojot respondentu sniegtās atbildes par katru jautājuma bloku – formālo mentoringu, neformālo mentoringu, zināšanu vadīšanu, intelektuālo kapitālu un darbinieku motivāciju tika iegūts 5.attēls.</w:t>
      </w:r>
    </w:p>
    <w:p w:rsidR="00CA1B7A" w:rsidRPr="00F101FB" w:rsidRDefault="00CA1B7A" w:rsidP="00CA1B7A">
      <w:pPr>
        <w:spacing w:before="120" w:after="0" w:line="240" w:lineRule="auto"/>
        <w:jc w:val="both"/>
        <w:rPr>
          <w:rFonts w:ascii="Times New Roman" w:hAnsi="Times New Roman"/>
          <w:sz w:val="24"/>
          <w:szCs w:val="24"/>
        </w:rPr>
      </w:pPr>
      <w:r w:rsidRPr="00F101FB">
        <w:rPr>
          <w:rFonts w:ascii="Times New Roman" w:hAnsi="Times New Roman"/>
          <w:sz w:val="24"/>
          <w:szCs w:val="24"/>
        </w:rPr>
        <w:t>Kā parāda iegūtie dati, tad katrai bankai ir sava nostāja attiecībā uz zināšanām un to kopumu. Banka 2, banka 5, banka 6 uzsver, ka visnoteicošākā loma bankas darbībā ir tieši zināšanu vadīšanai, kamēr banka 1 un banka 4 kā būtiskāko faktoru uzsver neformālo mentoringu, bet banka 3 – darbinieku motivāciju. Savukārt kā otrs noteicošais rādītājs tiek uzsvērts zināšanu vadīšana – banka 1, banka 3, bet banka 5 un banka 6 – neformālais mentorings, kamēr bankā 2 – motivācija, bet bankā 4 – formālais mentorings. Runājot par intelektuālo kapitālu – banka 1, uzskata, ka tas ir tik pat nozīmīgs rādītājs, kā zināšanu vadīšana, banka 2, banka 5 un banka 6 šo nemateriālo rādītāju ierindo trešajā vietā.</w:t>
      </w:r>
    </w:p>
    <w:p w:rsidR="00A23BC4" w:rsidRPr="00F101FB" w:rsidRDefault="00A23BC4" w:rsidP="00F101FB">
      <w:pPr>
        <w:spacing w:after="0" w:line="240" w:lineRule="auto"/>
        <w:jc w:val="both"/>
        <w:rPr>
          <w:rFonts w:ascii="Times New Roman" w:hAnsi="Times New Roman"/>
          <w:sz w:val="24"/>
          <w:szCs w:val="24"/>
        </w:rPr>
      </w:pPr>
    </w:p>
    <w:p w:rsidR="00A23BC4" w:rsidRPr="00F101FB" w:rsidRDefault="00A23BC4" w:rsidP="00F101FB">
      <w:pPr>
        <w:spacing w:after="0" w:line="240" w:lineRule="auto"/>
        <w:jc w:val="center"/>
        <w:rPr>
          <w:rFonts w:ascii="Times New Roman" w:hAnsi="Times New Roman"/>
          <w:sz w:val="24"/>
          <w:szCs w:val="24"/>
        </w:rPr>
      </w:pPr>
    </w:p>
    <w:p w:rsidR="00A23BC4" w:rsidRPr="00F101FB" w:rsidRDefault="007F325F" w:rsidP="00F101FB">
      <w:pPr>
        <w:spacing w:after="0" w:line="240" w:lineRule="auto"/>
        <w:jc w:val="center"/>
        <w:rPr>
          <w:rFonts w:ascii="Times New Roman" w:hAnsi="Times New Roman"/>
          <w:noProof/>
          <w:sz w:val="24"/>
          <w:szCs w:val="24"/>
          <w:lang w:eastAsia="lv-LV"/>
        </w:rPr>
      </w:pPr>
      <w:r>
        <w:rPr>
          <w:rFonts w:ascii="Times New Roman" w:hAnsi="Times New Roman"/>
          <w:noProof/>
          <w:sz w:val="24"/>
          <w:szCs w:val="24"/>
          <w:lang w:eastAsia="lv-LV"/>
        </w:rPr>
        <w:lastRenderedPageBreak/>
        <w:drawing>
          <wp:inline distT="0" distB="0" distL="0" distR="0">
            <wp:extent cx="3975071" cy="2623076"/>
            <wp:effectExtent l="10603" t="5824" r="5301" b="0"/>
            <wp:docPr id="5"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23BC4" w:rsidRPr="00F101FB" w:rsidRDefault="00A23BC4" w:rsidP="00F101FB">
      <w:pPr>
        <w:spacing w:after="0" w:line="240" w:lineRule="auto"/>
        <w:jc w:val="center"/>
        <w:rPr>
          <w:rFonts w:ascii="Times New Roman" w:hAnsi="Times New Roman"/>
          <w:noProof/>
          <w:sz w:val="24"/>
          <w:szCs w:val="24"/>
          <w:lang w:eastAsia="lv-LV"/>
        </w:rPr>
      </w:pPr>
    </w:p>
    <w:p w:rsidR="00A23BC4" w:rsidRPr="00F101FB" w:rsidRDefault="00BF23A7" w:rsidP="00F101FB">
      <w:pPr>
        <w:spacing w:after="0" w:line="240" w:lineRule="auto"/>
        <w:jc w:val="both"/>
        <w:rPr>
          <w:rFonts w:ascii="Times New Roman" w:hAnsi="Times New Roman"/>
          <w:sz w:val="24"/>
          <w:szCs w:val="24"/>
        </w:rPr>
      </w:pPr>
      <w:r>
        <w:rPr>
          <w:rFonts w:ascii="Times New Roman" w:hAnsi="Times New Roman"/>
          <w:noProof/>
          <w:sz w:val="24"/>
          <w:szCs w:val="24"/>
          <w:lang w:eastAsia="lv-LV"/>
        </w:rPr>
        <w:t>5.att.</w:t>
      </w:r>
      <w:r w:rsidR="00A23BC4" w:rsidRPr="00F101FB">
        <w:rPr>
          <w:rFonts w:ascii="Times New Roman" w:hAnsi="Times New Roman"/>
          <w:noProof/>
          <w:sz w:val="24"/>
          <w:szCs w:val="24"/>
          <w:lang w:eastAsia="lv-LV"/>
        </w:rPr>
        <w:t xml:space="preserve"> </w:t>
      </w:r>
      <w:r w:rsidR="0087426C" w:rsidRPr="00F101FB">
        <w:rPr>
          <w:rFonts w:ascii="Times New Roman" w:hAnsi="Times New Roman"/>
          <w:noProof/>
          <w:sz w:val="24"/>
          <w:szCs w:val="24"/>
          <w:lang w:eastAsia="lv-LV"/>
        </w:rPr>
        <w:t>Zināšanu vadīšanas un intelektuālā kapitāla rādītāju komponenti banku darbinieku vērtējumā</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ab/>
      </w:r>
    </w:p>
    <w:p w:rsidR="00A23BC4" w:rsidRPr="00F101FB" w:rsidRDefault="00A23BC4" w:rsidP="006F6C66">
      <w:pPr>
        <w:spacing w:before="120" w:after="0" w:line="240" w:lineRule="auto"/>
        <w:jc w:val="both"/>
        <w:rPr>
          <w:rFonts w:ascii="Times New Roman" w:hAnsi="Times New Roman"/>
          <w:sz w:val="24"/>
          <w:szCs w:val="24"/>
        </w:rPr>
      </w:pPr>
      <w:r w:rsidRPr="00F101FB">
        <w:rPr>
          <w:rFonts w:ascii="Times New Roman" w:hAnsi="Times New Roman"/>
          <w:sz w:val="24"/>
          <w:szCs w:val="24"/>
        </w:rPr>
        <w:t>Savukārt, lai iegūtu bankas vidējo nemateriālo rādītāju lielumus, tika veikta rezultātu apkopošana ņemot vērā katras bankas iegūtos anketēšanas rezultātus pa jautājumu blokiem un tika izveidots kvalitatīvs nemateriālo vērtību attēls.</w:t>
      </w:r>
    </w:p>
    <w:p w:rsidR="00A23BC4" w:rsidRPr="00F101FB" w:rsidRDefault="00A23BC4" w:rsidP="00F101FB">
      <w:pPr>
        <w:spacing w:after="0" w:line="240" w:lineRule="auto"/>
        <w:jc w:val="both"/>
        <w:rPr>
          <w:rFonts w:ascii="Times New Roman" w:hAnsi="Times New Roman"/>
          <w:sz w:val="24"/>
          <w:szCs w:val="24"/>
        </w:rPr>
      </w:pPr>
    </w:p>
    <w:p w:rsidR="00A23BC4" w:rsidRPr="00F101FB" w:rsidRDefault="00A23BC4" w:rsidP="00F101FB">
      <w:pPr>
        <w:spacing w:after="0" w:line="240" w:lineRule="auto"/>
        <w:jc w:val="both"/>
        <w:rPr>
          <w:rFonts w:ascii="Times New Roman" w:hAnsi="Times New Roman"/>
          <w:sz w:val="24"/>
          <w:szCs w:val="24"/>
        </w:rPr>
      </w:pPr>
    </w:p>
    <w:p w:rsidR="00A23BC4" w:rsidRPr="00F101FB" w:rsidRDefault="007F325F" w:rsidP="00F101FB">
      <w:pPr>
        <w:spacing w:after="0" w:line="240" w:lineRule="auto"/>
        <w:jc w:val="center"/>
        <w:rPr>
          <w:rFonts w:ascii="Times New Roman" w:hAnsi="Times New Roman"/>
          <w:sz w:val="24"/>
          <w:szCs w:val="24"/>
        </w:rPr>
      </w:pPr>
      <w:r>
        <w:rPr>
          <w:rFonts w:ascii="Times New Roman" w:hAnsi="Times New Roman"/>
          <w:noProof/>
          <w:sz w:val="24"/>
          <w:szCs w:val="24"/>
          <w:lang w:eastAsia="lv-LV"/>
        </w:rPr>
        <w:drawing>
          <wp:inline distT="0" distB="0" distL="0" distR="0">
            <wp:extent cx="3813791" cy="2660062"/>
            <wp:effectExtent l="10173" t="5550" r="5086" b="1388"/>
            <wp:docPr id="6"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F6C66" w:rsidRDefault="006F6C66" w:rsidP="006F6C66">
      <w:pPr>
        <w:spacing w:after="0" w:line="240" w:lineRule="auto"/>
        <w:jc w:val="center"/>
        <w:rPr>
          <w:rFonts w:ascii="Times New Roman" w:hAnsi="Times New Roman"/>
          <w:sz w:val="24"/>
          <w:szCs w:val="24"/>
        </w:rPr>
      </w:pPr>
    </w:p>
    <w:p w:rsidR="00A23BC4" w:rsidRPr="00F101FB" w:rsidRDefault="00BF23A7" w:rsidP="006F6C66">
      <w:pPr>
        <w:spacing w:after="0" w:line="240" w:lineRule="auto"/>
        <w:jc w:val="center"/>
        <w:rPr>
          <w:rFonts w:ascii="Times New Roman" w:hAnsi="Times New Roman"/>
          <w:sz w:val="24"/>
          <w:szCs w:val="24"/>
        </w:rPr>
      </w:pPr>
      <w:r>
        <w:rPr>
          <w:rFonts w:ascii="Times New Roman" w:hAnsi="Times New Roman"/>
          <w:sz w:val="24"/>
          <w:szCs w:val="24"/>
        </w:rPr>
        <w:t>6. att.</w:t>
      </w:r>
      <w:r w:rsidR="00A23BC4" w:rsidRPr="00F101FB">
        <w:rPr>
          <w:rFonts w:ascii="Times New Roman" w:hAnsi="Times New Roman"/>
          <w:sz w:val="24"/>
          <w:szCs w:val="24"/>
        </w:rPr>
        <w:t xml:space="preserve"> </w:t>
      </w:r>
      <w:r w:rsidR="0087426C" w:rsidRPr="00F101FB">
        <w:rPr>
          <w:rFonts w:ascii="Times New Roman" w:hAnsi="Times New Roman"/>
          <w:sz w:val="24"/>
          <w:szCs w:val="24"/>
        </w:rPr>
        <w:t>Zināšanu vadīšanas un intelektuālā kapitāla komponentu rādītāji bankās</w:t>
      </w:r>
    </w:p>
    <w:p w:rsidR="00A23BC4" w:rsidRPr="00F101FB" w:rsidRDefault="00A23BC4" w:rsidP="00F101FB">
      <w:pPr>
        <w:spacing w:after="0" w:line="240" w:lineRule="auto"/>
        <w:rPr>
          <w:rFonts w:ascii="Times New Roman" w:hAnsi="Times New Roman"/>
          <w:sz w:val="24"/>
          <w:szCs w:val="24"/>
        </w:rPr>
      </w:pPr>
      <w:r w:rsidRPr="00F101FB">
        <w:rPr>
          <w:rFonts w:ascii="Times New Roman" w:hAnsi="Times New Roman"/>
          <w:sz w:val="24"/>
          <w:szCs w:val="24"/>
        </w:rPr>
        <w:tab/>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Kā redzams 6.attēlā, tad visaugstāk tiek vērtēta:</w:t>
      </w:r>
    </w:p>
    <w:p w:rsidR="00A23BC4" w:rsidRPr="00F101FB" w:rsidRDefault="00A23BC4" w:rsidP="00BF23A7">
      <w:pPr>
        <w:numPr>
          <w:ilvl w:val="0"/>
          <w:numId w:val="26"/>
        </w:numPr>
        <w:spacing w:after="0" w:line="240" w:lineRule="auto"/>
        <w:jc w:val="both"/>
        <w:rPr>
          <w:rFonts w:ascii="Times New Roman" w:hAnsi="Times New Roman"/>
          <w:sz w:val="24"/>
          <w:szCs w:val="24"/>
        </w:rPr>
      </w:pPr>
      <w:r w:rsidRPr="00F101FB">
        <w:rPr>
          <w:rFonts w:ascii="Times New Roman" w:hAnsi="Times New Roman"/>
          <w:sz w:val="24"/>
          <w:szCs w:val="24"/>
        </w:rPr>
        <w:t>Zināšanu vadīšana</w:t>
      </w:r>
    </w:p>
    <w:p w:rsidR="00A23BC4" w:rsidRPr="00F101FB" w:rsidRDefault="00A23BC4" w:rsidP="00BF23A7">
      <w:pPr>
        <w:numPr>
          <w:ilvl w:val="0"/>
          <w:numId w:val="26"/>
        </w:numPr>
        <w:spacing w:after="0" w:line="240" w:lineRule="auto"/>
        <w:jc w:val="both"/>
        <w:rPr>
          <w:rFonts w:ascii="Times New Roman" w:hAnsi="Times New Roman"/>
          <w:sz w:val="24"/>
          <w:szCs w:val="24"/>
        </w:rPr>
      </w:pPr>
      <w:r w:rsidRPr="00F101FB">
        <w:rPr>
          <w:rFonts w:ascii="Times New Roman" w:hAnsi="Times New Roman"/>
          <w:sz w:val="24"/>
          <w:szCs w:val="24"/>
        </w:rPr>
        <w:t>Neformālais mentorings</w:t>
      </w:r>
    </w:p>
    <w:p w:rsidR="00A23BC4" w:rsidRPr="00F101FB" w:rsidRDefault="00A23BC4" w:rsidP="00BF23A7">
      <w:pPr>
        <w:numPr>
          <w:ilvl w:val="0"/>
          <w:numId w:val="26"/>
        </w:numPr>
        <w:spacing w:after="0" w:line="240" w:lineRule="auto"/>
        <w:jc w:val="both"/>
        <w:rPr>
          <w:rFonts w:ascii="Times New Roman" w:hAnsi="Times New Roman"/>
          <w:sz w:val="24"/>
          <w:szCs w:val="24"/>
        </w:rPr>
      </w:pPr>
      <w:r w:rsidRPr="00F101FB">
        <w:rPr>
          <w:rFonts w:ascii="Times New Roman" w:hAnsi="Times New Roman"/>
          <w:sz w:val="24"/>
          <w:szCs w:val="24"/>
        </w:rPr>
        <w:t>Darbinieku motivācija</w:t>
      </w:r>
    </w:p>
    <w:p w:rsidR="00A23BC4" w:rsidRPr="00F101FB" w:rsidRDefault="00A23BC4" w:rsidP="00BF23A7">
      <w:pPr>
        <w:numPr>
          <w:ilvl w:val="0"/>
          <w:numId w:val="26"/>
        </w:numPr>
        <w:spacing w:after="0" w:line="240" w:lineRule="auto"/>
        <w:jc w:val="both"/>
        <w:rPr>
          <w:rFonts w:ascii="Times New Roman" w:hAnsi="Times New Roman"/>
          <w:sz w:val="24"/>
          <w:szCs w:val="24"/>
        </w:rPr>
      </w:pPr>
      <w:r w:rsidRPr="00F101FB">
        <w:rPr>
          <w:rFonts w:ascii="Times New Roman" w:hAnsi="Times New Roman"/>
          <w:sz w:val="24"/>
          <w:szCs w:val="24"/>
        </w:rPr>
        <w:t>Intelektuālais kapitāls</w:t>
      </w:r>
    </w:p>
    <w:p w:rsidR="00A23BC4" w:rsidRPr="00F101FB" w:rsidRDefault="00A23BC4" w:rsidP="00BF23A7">
      <w:pPr>
        <w:numPr>
          <w:ilvl w:val="0"/>
          <w:numId w:val="26"/>
        </w:numPr>
        <w:spacing w:after="0" w:line="240" w:lineRule="auto"/>
        <w:jc w:val="both"/>
        <w:rPr>
          <w:rFonts w:ascii="Times New Roman" w:hAnsi="Times New Roman"/>
          <w:sz w:val="24"/>
          <w:szCs w:val="24"/>
        </w:rPr>
      </w:pPr>
      <w:r w:rsidRPr="00F101FB">
        <w:rPr>
          <w:rFonts w:ascii="Times New Roman" w:hAnsi="Times New Roman"/>
          <w:sz w:val="24"/>
          <w:szCs w:val="24"/>
        </w:rPr>
        <w:t>Formālais mentorings.</w:t>
      </w:r>
    </w:p>
    <w:p w:rsidR="00A23BC4" w:rsidRPr="00F101FB" w:rsidRDefault="00A23BC4" w:rsidP="00DA10E5">
      <w:pPr>
        <w:spacing w:before="120" w:after="120" w:line="240" w:lineRule="auto"/>
        <w:jc w:val="both"/>
        <w:rPr>
          <w:rFonts w:ascii="Times New Roman" w:hAnsi="Times New Roman"/>
          <w:sz w:val="24"/>
          <w:szCs w:val="24"/>
        </w:rPr>
      </w:pPr>
      <w:r w:rsidRPr="00F101FB">
        <w:rPr>
          <w:rFonts w:ascii="Times New Roman" w:hAnsi="Times New Roman"/>
          <w:sz w:val="24"/>
          <w:szCs w:val="24"/>
        </w:rPr>
        <w:t>Šie pētījumi parādīja, ka neformālais mentorings ir cieši saistīts ar zināšanu vadīšanas īpašībām, zināšanu apmaiņu un zināšanu izmantošanu Latvijas komercbankās.</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lastRenderedPageBreak/>
        <w:t>Veicot anketēšanu, lai noskaidrotu darbinieku viedokli uz jautājumiem par to, „vai zināšanu vadīšana un intelektuālais kapitāls spēj ietekmēt bankas finanšu rādītājus?”, kā tas aprādīts 7.attēlā, tad darbinieku skatījumā bankas finanšu rādītājus vairāk spēj ietekmēt intelektuālais kapitāls – banka 3, banka 4, banka 5, banka 6, savukārt banka 1 un banka 2 uzskata, ka finanšu rādītājus vairāk spēj ietekmēt zināšanu vadīšana.</w:t>
      </w:r>
    </w:p>
    <w:p w:rsidR="00A23BC4" w:rsidRPr="00F101FB" w:rsidRDefault="00A23BC4" w:rsidP="00F101FB">
      <w:pPr>
        <w:spacing w:after="0" w:line="240" w:lineRule="auto"/>
        <w:jc w:val="both"/>
        <w:rPr>
          <w:rFonts w:ascii="Times New Roman" w:hAnsi="Times New Roman"/>
          <w:sz w:val="24"/>
          <w:szCs w:val="24"/>
        </w:rPr>
      </w:pPr>
    </w:p>
    <w:p w:rsidR="00A23BC4" w:rsidRPr="00F101FB" w:rsidRDefault="00A23BC4" w:rsidP="00F101FB">
      <w:pPr>
        <w:spacing w:after="0" w:line="240" w:lineRule="auto"/>
        <w:jc w:val="both"/>
        <w:rPr>
          <w:rFonts w:ascii="Times New Roman" w:hAnsi="Times New Roman"/>
          <w:sz w:val="24"/>
          <w:szCs w:val="24"/>
        </w:rPr>
      </w:pPr>
    </w:p>
    <w:p w:rsidR="00A23BC4" w:rsidRPr="00F101FB" w:rsidRDefault="007F325F" w:rsidP="00F101FB">
      <w:pPr>
        <w:spacing w:after="0" w:line="240" w:lineRule="auto"/>
        <w:jc w:val="center"/>
        <w:rPr>
          <w:rFonts w:ascii="Times New Roman" w:hAnsi="Times New Roman"/>
          <w:sz w:val="24"/>
          <w:szCs w:val="24"/>
        </w:rPr>
      </w:pPr>
      <w:r>
        <w:rPr>
          <w:rFonts w:ascii="Times New Roman" w:hAnsi="Times New Roman"/>
          <w:noProof/>
          <w:sz w:val="24"/>
          <w:szCs w:val="24"/>
          <w:lang w:eastAsia="lv-LV"/>
        </w:rPr>
        <w:drawing>
          <wp:inline distT="0" distB="0" distL="0" distR="0">
            <wp:extent cx="4297630" cy="2651587"/>
            <wp:effectExtent l="11463" t="5888" r="5732" b="0"/>
            <wp:docPr id="7" name="Chart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DA10E5" w:rsidRDefault="00DA10E5" w:rsidP="00DA10E5">
      <w:pPr>
        <w:spacing w:after="0" w:line="240" w:lineRule="auto"/>
        <w:jc w:val="center"/>
        <w:rPr>
          <w:rFonts w:ascii="Times New Roman" w:hAnsi="Times New Roman"/>
          <w:sz w:val="24"/>
          <w:szCs w:val="24"/>
        </w:rPr>
      </w:pPr>
    </w:p>
    <w:p w:rsidR="00A23BC4" w:rsidRPr="00F101FB" w:rsidRDefault="00DA10E5" w:rsidP="00DA10E5">
      <w:pPr>
        <w:spacing w:after="0" w:line="240" w:lineRule="auto"/>
        <w:jc w:val="center"/>
        <w:rPr>
          <w:rFonts w:ascii="Times New Roman" w:hAnsi="Times New Roman"/>
          <w:sz w:val="24"/>
          <w:szCs w:val="24"/>
        </w:rPr>
      </w:pPr>
      <w:r>
        <w:rPr>
          <w:rFonts w:ascii="Times New Roman" w:hAnsi="Times New Roman"/>
          <w:sz w:val="24"/>
          <w:szCs w:val="24"/>
        </w:rPr>
        <w:t>7.att.</w:t>
      </w:r>
      <w:r w:rsidR="00A23BC4" w:rsidRPr="00F101FB">
        <w:rPr>
          <w:rFonts w:ascii="Times New Roman" w:hAnsi="Times New Roman"/>
          <w:sz w:val="24"/>
          <w:szCs w:val="24"/>
        </w:rPr>
        <w:t xml:space="preserve"> Zi</w:t>
      </w:r>
      <w:r w:rsidR="00E86B58" w:rsidRPr="00F101FB">
        <w:rPr>
          <w:rFonts w:ascii="Times New Roman" w:hAnsi="Times New Roman"/>
          <w:sz w:val="24"/>
          <w:szCs w:val="24"/>
        </w:rPr>
        <w:t>nāšanu vadīšanas un intelektuālais</w:t>
      </w:r>
      <w:r w:rsidR="00A23BC4" w:rsidRPr="00F101FB">
        <w:rPr>
          <w:rFonts w:ascii="Times New Roman" w:hAnsi="Times New Roman"/>
          <w:sz w:val="24"/>
          <w:szCs w:val="24"/>
        </w:rPr>
        <w:t xml:space="preserve"> kapitāla </w:t>
      </w:r>
      <w:r w:rsidR="00E86B58" w:rsidRPr="00F101FB">
        <w:rPr>
          <w:rFonts w:ascii="Times New Roman" w:hAnsi="Times New Roman"/>
          <w:sz w:val="24"/>
          <w:szCs w:val="24"/>
        </w:rPr>
        <w:t>bankās darbinieku skatījumā</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ab/>
      </w:r>
    </w:p>
    <w:p w:rsidR="00A23BC4" w:rsidRPr="00F101FB" w:rsidRDefault="00A23BC4" w:rsidP="00F101FB">
      <w:pPr>
        <w:spacing w:after="0" w:line="240" w:lineRule="auto"/>
        <w:rPr>
          <w:rFonts w:ascii="Times New Roman" w:hAnsi="Times New Roman"/>
          <w:i/>
          <w:sz w:val="24"/>
          <w:szCs w:val="24"/>
        </w:rPr>
      </w:pPr>
      <w:r w:rsidRPr="00F101FB">
        <w:rPr>
          <w:rFonts w:ascii="Times New Roman" w:hAnsi="Times New Roman"/>
          <w:i/>
          <w:sz w:val="24"/>
          <w:szCs w:val="24"/>
        </w:rPr>
        <w:t>Interviju un anketēšanas mix</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Veicot interviju un anketēšanas rezultātu apkopojumu par katras bankas zināšanu vadīšanas un intelektuālā kapitāla rādītājiem bankas vadības un darbinieku skatījumā, tika iegūts kvalitatīvs nemateriālo vērtību attēls, kā tas redzams 8.attēlā.</w:t>
      </w:r>
    </w:p>
    <w:p w:rsidR="00A23BC4" w:rsidRPr="00F101FB" w:rsidRDefault="00A23BC4" w:rsidP="00F101FB">
      <w:pPr>
        <w:spacing w:after="0" w:line="240" w:lineRule="auto"/>
        <w:jc w:val="both"/>
        <w:rPr>
          <w:rFonts w:ascii="Times New Roman" w:hAnsi="Times New Roman"/>
          <w:b/>
          <w:sz w:val="24"/>
          <w:szCs w:val="24"/>
        </w:rPr>
      </w:pPr>
    </w:p>
    <w:p w:rsidR="00A23BC4" w:rsidRPr="00F101FB" w:rsidRDefault="00A23BC4" w:rsidP="00F101FB">
      <w:pPr>
        <w:spacing w:after="0" w:line="240" w:lineRule="auto"/>
        <w:jc w:val="both"/>
        <w:rPr>
          <w:rFonts w:ascii="Times New Roman" w:hAnsi="Times New Roman"/>
          <w:b/>
          <w:sz w:val="24"/>
          <w:szCs w:val="24"/>
        </w:rPr>
      </w:pPr>
    </w:p>
    <w:p w:rsidR="00A23BC4" w:rsidRPr="00F101FB" w:rsidRDefault="007F325F" w:rsidP="00F101FB">
      <w:pPr>
        <w:spacing w:after="0" w:line="240" w:lineRule="auto"/>
        <w:jc w:val="center"/>
        <w:rPr>
          <w:rFonts w:ascii="Times New Roman" w:hAnsi="Times New Roman"/>
          <w:b/>
          <w:sz w:val="24"/>
          <w:szCs w:val="24"/>
        </w:rPr>
      </w:pPr>
      <w:r>
        <w:rPr>
          <w:rFonts w:ascii="Times New Roman" w:hAnsi="Times New Roman"/>
          <w:noProof/>
          <w:sz w:val="24"/>
          <w:szCs w:val="24"/>
          <w:lang w:eastAsia="lv-LV"/>
        </w:rPr>
        <w:drawing>
          <wp:inline distT="0" distB="0" distL="0" distR="0">
            <wp:extent cx="4297630" cy="2585060"/>
            <wp:effectExtent l="11463" t="5740" r="5732" b="0"/>
            <wp:docPr id="8" name="Chart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364131" w:rsidRDefault="00364131" w:rsidP="00364131">
      <w:pPr>
        <w:spacing w:after="0" w:line="240" w:lineRule="auto"/>
        <w:jc w:val="center"/>
        <w:rPr>
          <w:rFonts w:ascii="Times New Roman" w:hAnsi="Times New Roman"/>
          <w:sz w:val="24"/>
          <w:szCs w:val="24"/>
        </w:rPr>
      </w:pPr>
    </w:p>
    <w:p w:rsidR="00A23BC4" w:rsidRPr="00F101FB" w:rsidRDefault="00364131" w:rsidP="00364131">
      <w:pPr>
        <w:spacing w:after="0" w:line="240" w:lineRule="auto"/>
        <w:jc w:val="center"/>
        <w:rPr>
          <w:rFonts w:ascii="Times New Roman" w:hAnsi="Times New Roman"/>
          <w:sz w:val="24"/>
          <w:szCs w:val="24"/>
        </w:rPr>
      </w:pPr>
      <w:r>
        <w:rPr>
          <w:rFonts w:ascii="Times New Roman" w:hAnsi="Times New Roman"/>
          <w:sz w:val="24"/>
          <w:szCs w:val="24"/>
        </w:rPr>
        <w:t>8.att.</w:t>
      </w:r>
      <w:r w:rsidR="00A23BC4" w:rsidRPr="00F101FB">
        <w:rPr>
          <w:rFonts w:ascii="Times New Roman" w:hAnsi="Times New Roman"/>
          <w:sz w:val="24"/>
          <w:szCs w:val="24"/>
        </w:rPr>
        <w:t xml:space="preserve"> Zināšanu vadīšanas un intelektuālā kapitāla lielums bankās</w:t>
      </w:r>
    </w:p>
    <w:p w:rsidR="00A23BC4" w:rsidRPr="00F101FB" w:rsidRDefault="00A23BC4" w:rsidP="00F101FB">
      <w:pPr>
        <w:spacing w:after="0" w:line="240" w:lineRule="auto"/>
        <w:jc w:val="both"/>
        <w:rPr>
          <w:rFonts w:ascii="Times New Roman" w:hAnsi="Times New Roman"/>
          <w:sz w:val="24"/>
          <w:szCs w:val="24"/>
        </w:rPr>
      </w:pP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 xml:space="preserve">Kā parāda 8.attēls, tad lielākā daļas bankas (banka 1, banka 3, banka 4, banka 5, banka 6) visaugstāk no nemateriālajiem kapitāliem, kuri spēj ietekmēt banku finanšu rādītājus ir novērtēts intelektuālais kapitāls, gan no vadītāju, gan no darbinieku puses, savukārt, ka bankas finanšu </w:t>
      </w:r>
      <w:r w:rsidRPr="00F101FB">
        <w:rPr>
          <w:rFonts w:ascii="Times New Roman" w:hAnsi="Times New Roman"/>
          <w:sz w:val="24"/>
          <w:szCs w:val="24"/>
        </w:rPr>
        <w:lastRenderedPageBreak/>
        <w:t xml:space="preserve">rādītājus spēj vairāk ietekmēt zināšanu vadīšanu uzsver banka 2 darbinieku vērtējumā, bet banka 3 vadītāju vērtējumā. </w:t>
      </w:r>
    </w:p>
    <w:p w:rsidR="00A23BC4" w:rsidRPr="00F101FB" w:rsidRDefault="00A23BC4" w:rsidP="00F94B7D">
      <w:pPr>
        <w:spacing w:before="120" w:after="0" w:line="240" w:lineRule="auto"/>
        <w:rPr>
          <w:rFonts w:ascii="Times New Roman" w:hAnsi="Times New Roman"/>
          <w:i/>
          <w:sz w:val="24"/>
          <w:szCs w:val="24"/>
        </w:rPr>
      </w:pPr>
      <w:r w:rsidRPr="00F101FB">
        <w:rPr>
          <w:rFonts w:ascii="Times New Roman" w:hAnsi="Times New Roman"/>
          <w:i/>
          <w:sz w:val="24"/>
          <w:szCs w:val="24"/>
        </w:rPr>
        <w:t>Komercbanku gada pārskati</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 xml:space="preserve">Tā kā zināšanu vadīšanas un intelektuālā kapitāla resursus nevar viennozīmīgi atdalīt no finanšu resursiem, jo banka ir viens vesels mehānisms, kas visciešākajā veidā ir saistīta ar tās darbiniekiem un klientiem, kuru veiksmīgai funkcionēšanai ir nepieciešami gan materiālie, gan nemateriālie resursi. </w:t>
      </w:r>
    </w:p>
    <w:p w:rsidR="00A23BC4" w:rsidRPr="00F101FB" w:rsidRDefault="00A23BC4" w:rsidP="00F94B7D">
      <w:pPr>
        <w:spacing w:before="120" w:after="0" w:line="240" w:lineRule="auto"/>
        <w:jc w:val="both"/>
        <w:rPr>
          <w:rFonts w:ascii="Times New Roman" w:hAnsi="Times New Roman"/>
          <w:sz w:val="24"/>
          <w:szCs w:val="24"/>
        </w:rPr>
      </w:pPr>
      <w:r w:rsidRPr="00F101FB">
        <w:rPr>
          <w:rFonts w:ascii="Times New Roman" w:hAnsi="Times New Roman"/>
          <w:sz w:val="24"/>
          <w:szCs w:val="24"/>
        </w:rPr>
        <w:t>Apkopojot intervijās un anketēšanā iegūtos rezultātus bija iespējams izveidot zināšanu vadīšanas un intelektuālā kapitāla attēlu un salīdzināt abu nemateriālo kapitāla lielumus, kas savukārt pēc tam ļāva noteikt katras bankas zināšanu vadīšanas un intelektuālā kapitāla lielumus un veikt to salīdzināšanu ar banku finanšu pārskatiem.</w:t>
      </w:r>
    </w:p>
    <w:p w:rsidR="00A23BC4" w:rsidRPr="00F101FB" w:rsidRDefault="00A23BC4" w:rsidP="00F94B7D">
      <w:pPr>
        <w:spacing w:before="120" w:after="0" w:line="240" w:lineRule="auto"/>
        <w:jc w:val="both"/>
        <w:rPr>
          <w:rFonts w:ascii="Times New Roman" w:hAnsi="Times New Roman"/>
          <w:sz w:val="24"/>
          <w:szCs w:val="24"/>
        </w:rPr>
      </w:pPr>
      <w:r w:rsidRPr="00F101FB">
        <w:rPr>
          <w:rFonts w:ascii="Times New Roman" w:hAnsi="Times New Roman"/>
          <w:sz w:val="24"/>
          <w:szCs w:val="24"/>
        </w:rPr>
        <w:t>Finanšu rādītāju noteikšanai parasti tiek izmantotas vairākas metodes, tā kā pētījuma viens no pamatmērķiem bija noteikt, vai zināšanu vadīšana un intelektuālais kapitāls spēj ietekmēt bankas finanšu rādītājus, līdz ar to autores datu noteikšanai izmantoja finanšu koeficienta metodi izmantojot sekojošus rādītājus: kredītrisks, likviditāte, valūtas risks, kapitāla pietiekamība, kapitāla atdeve, aktīvu atdeve.</w:t>
      </w:r>
    </w:p>
    <w:p w:rsidR="00A23BC4" w:rsidRPr="00F101FB" w:rsidRDefault="00A23BC4" w:rsidP="00F94B7D">
      <w:pPr>
        <w:spacing w:before="120" w:after="0" w:line="240" w:lineRule="auto"/>
        <w:jc w:val="both"/>
        <w:rPr>
          <w:rFonts w:ascii="Times New Roman" w:hAnsi="Times New Roman"/>
          <w:sz w:val="24"/>
          <w:szCs w:val="24"/>
        </w:rPr>
      </w:pPr>
      <w:r w:rsidRPr="00F101FB">
        <w:rPr>
          <w:rFonts w:ascii="Times New Roman" w:hAnsi="Times New Roman"/>
          <w:sz w:val="24"/>
          <w:szCs w:val="24"/>
        </w:rPr>
        <w:t>Aprēķinot bankas zināšanu vadīšanas un intelektuālā kapitāla rādītājus, kā arī stabilitātes rādītājus, tika iegūts attēls, kurš ļāva savstarpēji salīdzināt šos materiālos un nemateriālos lielumus, kā tas parādīts 9.attēlā.</w:t>
      </w:r>
    </w:p>
    <w:p w:rsidR="00A23BC4" w:rsidRPr="00F101FB" w:rsidRDefault="00A23BC4" w:rsidP="00F101FB">
      <w:pPr>
        <w:spacing w:after="0" w:line="240" w:lineRule="auto"/>
        <w:jc w:val="both"/>
        <w:rPr>
          <w:rFonts w:ascii="Times New Roman" w:hAnsi="Times New Roman"/>
          <w:sz w:val="24"/>
          <w:szCs w:val="24"/>
        </w:rPr>
      </w:pPr>
    </w:p>
    <w:p w:rsidR="00A23BC4" w:rsidRPr="00F101FB" w:rsidRDefault="007F325F" w:rsidP="00F101FB">
      <w:pPr>
        <w:spacing w:after="0" w:line="240" w:lineRule="auto"/>
        <w:jc w:val="center"/>
        <w:rPr>
          <w:rFonts w:ascii="Times New Roman" w:hAnsi="Times New Roman"/>
          <w:sz w:val="24"/>
          <w:szCs w:val="24"/>
        </w:rPr>
      </w:pPr>
      <w:r>
        <w:rPr>
          <w:rFonts w:ascii="Times New Roman" w:hAnsi="Times New Roman"/>
          <w:noProof/>
          <w:sz w:val="24"/>
          <w:szCs w:val="24"/>
          <w:lang w:eastAsia="lv-LV"/>
        </w:rPr>
        <w:drawing>
          <wp:inline distT="0" distB="0" distL="0" distR="0">
            <wp:extent cx="4509341" cy="2850798"/>
            <wp:effectExtent l="10023" t="6702" r="5011" b="0"/>
            <wp:docPr id="9"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A23BC4" w:rsidRPr="00F101FB" w:rsidRDefault="00A23BC4" w:rsidP="00F101FB">
      <w:pPr>
        <w:spacing w:after="0" w:line="240" w:lineRule="auto"/>
        <w:jc w:val="center"/>
        <w:rPr>
          <w:rFonts w:ascii="Times New Roman" w:hAnsi="Times New Roman"/>
          <w:sz w:val="24"/>
          <w:szCs w:val="24"/>
        </w:rPr>
      </w:pPr>
    </w:p>
    <w:p w:rsidR="00A23BC4" w:rsidRPr="00F101FB" w:rsidRDefault="00F94B7D" w:rsidP="00F94B7D">
      <w:pPr>
        <w:spacing w:after="0" w:line="240" w:lineRule="auto"/>
        <w:jc w:val="center"/>
        <w:rPr>
          <w:rFonts w:ascii="Times New Roman" w:hAnsi="Times New Roman"/>
          <w:sz w:val="24"/>
          <w:szCs w:val="24"/>
        </w:rPr>
      </w:pPr>
      <w:r>
        <w:rPr>
          <w:rFonts w:ascii="Times New Roman" w:hAnsi="Times New Roman"/>
          <w:sz w:val="24"/>
          <w:szCs w:val="24"/>
        </w:rPr>
        <w:t>9.att.</w:t>
      </w:r>
      <w:r w:rsidR="00A23BC4" w:rsidRPr="00F101FB">
        <w:rPr>
          <w:rFonts w:ascii="Times New Roman" w:hAnsi="Times New Roman"/>
          <w:sz w:val="24"/>
          <w:szCs w:val="24"/>
        </w:rPr>
        <w:t xml:space="preserve"> Intelektuālā kapitāla, zināšanu vadīšanas un finanšu rādītāju lielumu salīdzinājums</w:t>
      </w:r>
      <w:r w:rsidR="00644156" w:rsidRPr="00F101FB">
        <w:rPr>
          <w:rFonts w:ascii="Times New Roman" w:hAnsi="Times New Roman"/>
          <w:sz w:val="24"/>
          <w:szCs w:val="24"/>
        </w:rPr>
        <w:t xml:space="preserve"> bankās</w:t>
      </w:r>
    </w:p>
    <w:p w:rsidR="00A23BC4" w:rsidRPr="00F101FB" w:rsidRDefault="00A23BC4" w:rsidP="00F101FB">
      <w:pPr>
        <w:spacing w:after="0" w:line="240" w:lineRule="auto"/>
        <w:jc w:val="both"/>
        <w:rPr>
          <w:rFonts w:ascii="Times New Roman" w:hAnsi="Times New Roman"/>
          <w:sz w:val="24"/>
          <w:szCs w:val="24"/>
        </w:rPr>
      </w:pPr>
    </w:p>
    <w:p w:rsidR="00A23BC4"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9.attēlā iegūtie dati parādīja, ka bankā 1 un bankā 4 gandrīz visi finanšu un nefinanšu rādītāji ir augstāki, nekā citām bankām, kas liecina par spēju efektīvāk vadīt biznesa procesus, attīstīt tos un veikt rezultatīvāku darbu kopumā, līdz ar to pierādās fakts, ka zināšanu vadīšana un intelektuālais kapitāls spēj ietekmēt banku finanšu rādītājus. Bankas 2 iegūtie rezultāti parāda, ka ir augsti finanšu rādītāji un zemi zināšanu vadīšanas un intelektuālā kapitāla rādītāji salīdzinot ar citām bankām, kas varētu liecināt par neefektīvu nemateriālo resursu izmantošanu, līdz ar to bankai 2 būtu jāpārdomā par šo resursu tālāko attīstību un izveidi bankā. Savukārt bankā 3 ir zemi finanšu rādītāji salīdzinājumā ar nemateriālajiem rādītājiem, kas varētu liecināt par to, ka bankā nav īstas skaidrības par zināšanu vadīšanu un intelektuālo kapitālu un kā to pielietot, lai paaugstinātu finanšu rādītājus.</w:t>
      </w:r>
    </w:p>
    <w:p w:rsidR="00F94B7D" w:rsidRPr="00F101FB" w:rsidRDefault="00F94B7D" w:rsidP="00F101FB">
      <w:pPr>
        <w:spacing w:after="0" w:line="240" w:lineRule="auto"/>
        <w:jc w:val="both"/>
        <w:rPr>
          <w:rFonts w:ascii="Times New Roman" w:hAnsi="Times New Roman"/>
          <w:sz w:val="24"/>
          <w:szCs w:val="24"/>
        </w:rPr>
      </w:pPr>
    </w:p>
    <w:p w:rsidR="00A23BC4" w:rsidRDefault="00A23BC4" w:rsidP="00F94B7D">
      <w:pPr>
        <w:spacing w:after="0" w:line="240" w:lineRule="auto"/>
        <w:rPr>
          <w:rFonts w:ascii="Times New Roman" w:hAnsi="Times New Roman"/>
          <w:b/>
          <w:sz w:val="24"/>
          <w:szCs w:val="24"/>
        </w:rPr>
      </w:pPr>
      <w:r w:rsidRPr="00F101FB">
        <w:rPr>
          <w:rFonts w:ascii="Times New Roman" w:hAnsi="Times New Roman"/>
          <w:b/>
          <w:sz w:val="24"/>
          <w:szCs w:val="24"/>
        </w:rPr>
        <w:lastRenderedPageBreak/>
        <w:t>Secinājumi un priekšlikumi</w:t>
      </w:r>
    </w:p>
    <w:p w:rsidR="00F94B7D" w:rsidRPr="00F101FB" w:rsidRDefault="00F94B7D" w:rsidP="00F94B7D">
      <w:pPr>
        <w:spacing w:after="0" w:line="240" w:lineRule="auto"/>
        <w:rPr>
          <w:rFonts w:ascii="Times New Roman" w:hAnsi="Times New Roman"/>
          <w:b/>
          <w:sz w:val="24"/>
          <w:szCs w:val="24"/>
        </w:rPr>
      </w:pPr>
    </w:p>
    <w:p w:rsidR="00A23BC4" w:rsidRPr="00F101FB" w:rsidRDefault="00A23BC4" w:rsidP="00DC58E0">
      <w:pPr>
        <w:spacing w:after="120" w:line="240" w:lineRule="auto"/>
        <w:jc w:val="both"/>
        <w:rPr>
          <w:rFonts w:ascii="Times New Roman" w:hAnsi="Times New Roman"/>
          <w:b/>
          <w:sz w:val="24"/>
          <w:szCs w:val="24"/>
        </w:rPr>
      </w:pPr>
      <w:r w:rsidRPr="00F101FB">
        <w:rPr>
          <w:rFonts w:ascii="Times New Roman" w:hAnsi="Times New Roman"/>
          <w:sz w:val="24"/>
          <w:szCs w:val="24"/>
        </w:rPr>
        <w:t>Kvalitatīvos datus par mūsu pētījumu apstiprināja daudzu literatūru apskats.</w:t>
      </w:r>
    </w:p>
    <w:p w:rsidR="00A23BC4" w:rsidRPr="00F101FB" w:rsidRDefault="00A23BC4" w:rsidP="00DC58E0">
      <w:pPr>
        <w:spacing w:after="120" w:line="240" w:lineRule="auto"/>
        <w:jc w:val="both"/>
        <w:rPr>
          <w:rFonts w:ascii="Times New Roman" w:hAnsi="Times New Roman"/>
          <w:sz w:val="24"/>
          <w:szCs w:val="24"/>
        </w:rPr>
      </w:pPr>
      <w:r w:rsidRPr="00F101FB">
        <w:rPr>
          <w:rFonts w:ascii="Times New Roman" w:hAnsi="Times New Roman"/>
          <w:sz w:val="24"/>
          <w:szCs w:val="24"/>
        </w:rPr>
        <w:t xml:space="preserve">Mūsdienās zināšanas un intelektuālais kapitāls kļūst par vienu no nozīmīgākajiem vērtības veidotājiem, iezīmējot jaunu laikmeta sākumu – zināšanu ekonomiku. Reaģējot uz pārmaiņām Latvijas komercbankām būtu jāsāk pievērst lielāka uzmanība zināšanu vadīšanas un intelektuālā kapitāla nozīmei, izvirzot kā būtisku finanšu rādītāju ietekmējošu faktoru. Kā arī pārdomājot mentoringa lomu un nozīmi, darbinieku zināšanu izmantošanas veicināšanai un to tālāko nodošanu. Būtisks ir arī faktors, ka Latvijas komercbankās strādājošie darbinieki nav ieinteresēti realizēt savas zināšanas, jo tas neļauj gūt lielāku finansiālo labklājību, kā arī karjeras izaugsmes iespējas. Līdz ar to daudzām bankām būtu jāpiedomā arī pie efektīva motivācijas modeļa izstrādes, lai stimulētu darbiniekus dalīties ar savām zināšanām un pieredzi. </w:t>
      </w:r>
    </w:p>
    <w:p w:rsidR="00A23BC4" w:rsidRPr="00F101FB" w:rsidRDefault="00A23BC4" w:rsidP="00F101FB">
      <w:pPr>
        <w:spacing w:after="0" w:line="240" w:lineRule="auto"/>
        <w:jc w:val="both"/>
        <w:rPr>
          <w:rFonts w:ascii="Times New Roman" w:hAnsi="Times New Roman"/>
          <w:sz w:val="24"/>
          <w:szCs w:val="24"/>
        </w:rPr>
      </w:pPr>
      <w:r w:rsidRPr="00F101FB">
        <w:rPr>
          <w:rFonts w:ascii="Times New Roman" w:hAnsi="Times New Roman"/>
          <w:sz w:val="24"/>
          <w:szCs w:val="24"/>
        </w:rPr>
        <w:t>Apkopojot un izanalizējot intervijās un anketēšanās iegūtos rezultātus, tika apstiprinātas visas izvirzītās hipotēzes:</w:t>
      </w:r>
    </w:p>
    <w:p w:rsidR="00A23BC4" w:rsidRPr="00F101FB" w:rsidRDefault="00A23BC4" w:rsidP="00F94B7D">
      <w:pPr>
        <w:numPr>
          <w:ilvl w:val="0"/>
          <w:numId w:val="27"/>
        </w:numPr>
        <w:spacing w:after="0" w:line="240" w:lineRule="auto"/>
        <w:jc w:val="both"/>
        <w:rPr>
          <w:rFonts w:ascii="Times New Roman" w:hAnsi="Times New Roman"/>
          <w:sz w:val="24"/>
          <w:szCs w:val="24"/>
        </w:rPr>
      </w:pPr>
      <w:r w:rsidRPr="00F101FB">
        <w:rPr>
          <w:rFonts w:ascii="Times New Roman" w:hAnsi="Times New Roman"/>
          <w:sz w:val="24"/>
          <w:szCs w:val="24"/>
        </w:rPr>
        <w:t>zināšanu vadīšana spēj ietekmēt bankas finanšu radītājus;</w:t>
      </w:r>
    </w:p>
    <w:p w:rsidR="00A23BC4" w:rsidRPr="00F101FB" w:rsidRDefault="00A23BC4" w:rsidP="00F94B7D">
      <w:pPr>
        <w:numPr>
          <w:ilvl w:val="0"/>
          <w:numId w:val="27"/>
        </w:numPr>
        <w:spacing w:after="0" w:line="240" w:lineRule="auto"/>
        <w:jc w:val="both"/>
        <w:rPr>
          <w:rFonts w:ascii="Times New Roman" w:hAnsi="Times New Roman"/>
          <w:sz w:val="24"/>
          <w:szCs w:val="24"/>
        </w:rPr>
      </w:pPr>
      <w:r w:rsidRPr="00F101FB">
        <w:rPr>
          <w:rFonts w:ascii="Times New Roman" w:hAnsi="Times New Roman"/>
          <w:sz w:val="24"/>
          <w:szCs w:val="24"/>
        </w:rPr>
        <w:t>intelektuālais kapitāls spēj ietekmēt bankas finanšu rādītājus;</w:t>
      </w:r>
    </w:p>
    <w:p w:rsidR="00A23BC4" w:rsidRPr="00F101FB" w:rsidRDefault="00A23BC4" w:rsidP="00F94B7D">
      <w:pPr>
        <w:numPr>
          <w:ilvl w:val="0"/>
          <w:numId w:val="27"/>
        </w:numPr>
        <w:spacing w:after="0" w:line="240" w:lineRule="auto"/>
        <w:jc w:val="both"/>
        <w:rPr>
          <w:rFonts w:ascii="Times New Roman" w:hAnsi="Times New Roman"/>
          <w:sz w:val="24"/>
          <w:szCs w:val="24"/>
        </w:rPr>
      </w:pPr>
      <w:r w:rsidRPr="00F101FB">
        <w:rPr>
          <w:rFonts w:ascii="Times New Roman" w:hAnsi="Times New Roman"/>
          <w:sz w:val="24"/>
          <w:szCs w:val="24"/>
        </w:rPr>
        <w:t>Pastāv saistība starp formālo un neformālo mentoringu un zināšanu apmaiņu un izmantošanu – kā parāda anketēšanā iegūtie dati pēc likerta skalas, tad būtiska ir kopsakarība starp formālo mentoringu un zināšanām, tādejādi veicinot to apmaiņu un izmantošanu, anketēšanā iegūtie dati apliecināja, ka zināšanu apmaiņai starp darbiniekiem būtiska loma ir arī neformālajam mentoringam;</w:t>
      </w:r>
    </w:p>
    <w:p w:rsidR="00A23BC4" w:rsidRPr="00F101FB" w:rsidRDefault="00A23BC4" w:rsidP="00F94B7D">
      <w:pPr>
        <w:numPr>
          <w:ilvl w:val="0"/>
          <w:numId w:val="27"/>
        </w:numPr>
        <w:spacing w:after="0" w:line="240" w:lineRule="auto"/>
        <w:jc w:val="both"/>
        <w:rPr>
          <w:rFonts w:ascii="Times New Roman" w:hAnsi="Times New Roman"/>
          <w:sz w:val="24"/>
          <w:szCs w:val="24"/>
        </w:rPr>
      </w:pPr>
      <w:r w:rsidRPr="00F101FB">
        <w:rPr>
          <w:rFonts w:ascii="Times New Roman" w:hAnsi="Times New Roman"/>
          <w:sz w:val="24"/>
          <w:szCs w:val="24"/>
        </w:rPr>
        <w:t>augstāku rezultātu sasniegšanā būtiska loma ir arī darbinieku motivācijai – anketēšanas rezultāti apliecina, ka bankās, kurās ir spēcīga motivācijas sistēma stimulē darbiniekus vairāk ieguldīt savas zināšanas un pieredzi, tādejādi uzlabojot finanšu rādītājus.</w:t>
      </w:r>
    </w:p>
    <w:p w:rsidR="00A23BC4" w:rsidRPr="00F101FB" w:rsidRDefault="00A23BC4" w:rsidP="00DC58E0">
      <w:pPr>
        <w:spacing w:before="120" w:after="0" w:line="240" w:lineRule="auto"/>
        <w:jc w:val="both"/>
        <w:rPr>
          <w:rFonts w:ascii="Times New Roman" w:hAnsi="Times New Roman"/>
          <w:sz w:val="24"/>
          <w:szCs w:val="24"/>
        </w:rPr>
      </w:pPr>
      <w:r w:rsidRPr="00F101FB">
        <w:rPr>
          <w:rFonts w:ascii="Times New Roman" w:hAnsi="Times New Roman"/>
          <w:sz w:val="24"/>
          <w:szCs w:val="24"/>
        </w:rPr>
        <w:t>Līdz ar to autores uzsver, ka komercbanku vadītājiem ir jāvelta īpaša uzmanība zināšanu vadīšanai un intelektuālajam kapitālam kā bankas resursiem. Šo resursu efektīvai pārvaldībai ir skaidri jānodefinē mērķi un ietekme uz finanšu rādītājiem, tādejādi izlīdzinot bilances un tirgus vērtību un radot būtiskus konkurences priekšrocības nosacījumus.</w:t>
      </w:r>
    </w:p>
    <w:p w:rsidR="00A23BC4" w:rsidRPr="00F101FB" w:rsidRDefault="00A23BC4" w:rsidP="00DC58E0">
      <w:pPr>
        <w:spacing w:before="120" w:after="0" w:line="240" w:lineRule="auto"/>
        <w:jc w:val="both"/>
        <w:rPr>
          <w:rFonts w:ascii="Times New Roman" w:hAnsi="Times New Roman"/>
          <w:sz w:val="24"/>
          <w:szCs w:val="24"/>
        </w:rPr>
      </w:pPr>
      <w:r w:rsidRPr="00F101FB">
        <w:rPr>
          <w:rFonts w:ascii="Times New Roman" w:hAnsi="Times New Roman"/>
          <w:sz w:val="24"/>
          <w:szCs w:val="24"/>
        </w:rPr>
        <w:t>Lai attīstītu zināšanu vadīšanu un intelektuālo kapitālu Latvijas komercbankās, autores piedāvā izstrādāt zināšanu vadīšanas un intelektuālā kapitāla modeli un sākotnēji to ieviest bankas iekšējos dokumentos, kas ietver zināšanu apguves un apmaiņas sistēmas izveidi un attīstīšanu (iekšējie zināšanu apmaiņas portāli, datubāzes, mācību kuru, konferenču plānošanu, profesionālās literatūras, periodikas un citu materiālu nodrošināšana), bet ar laiku iekļaut arī gada pārskatos.</w:t>
      </w:r>
    </w:p>
    <w:p w:rsidR="00A23BC4" w:rsidRPr="00F101FB" w:rsidRDefault="00A23BC4" w:rsidP="00F101FB">
      <w:pPr>
        <w:spacing w:after="0" w:line="240" w:lineRule="auto"/>
        <w:jc w:val="both"/>
        <w:rPr>
          <w:rFonts w:ascii="Times New Roman" w:hAnsi="Times New Roman"/>
          <w:b/>
          <w:sz w:val="24"/>
          <w:szCs w:val="24"/>
        </w:rPr>
      </w:pPr>
    </w:p>
    <w:p w:rsidR="00A23BC4" w:rsidRDefault="00DC58E0" w:rsidP="00DC58E0">
      <w:pPr>
        <w:spacing w:after="0" w:line="240" w:lineRule="auto"/>
        <w:rPr>
          <w:rFonts w:ascii="Times New Roman" w:hAnsi="Times New Roman"/>
          <w:b/>
          <w:sz w:val="24"/>
          <w:szCs w:val="24"/>
        </w:rPr>
      </w:pPr>
      <w:r>
        <w:rPr>
          <w:rFonts w:ascii="Times New Roman" w:hAnsi="Times New Roman"/>
          <w:b/>
          <w:sz w:val="24"/>
          <w:szCs w:val="24"/>
        </w:rPr>
        <w:t>L</w:t>
      </w:r>
      <w:r w:rsidRPr="00F101FB">
        <w:rPr>
          <w:rFonts w:ascii="Times New Roman" w:hAnsi="Times New Roman"/>
          <w:b/>
          <w:sz w:val="24"/>
          <w:szCs w:val="24"/>
        </w:rPr>
        <w:t>ITERATŪRA</w:t>
      </w:r>
    </w:p>
    <w:p w:rsidR="00DC58E0" w:rsidRPr="00F101FB" w:rsidRDefault="00DC58E0" w:rsidP="00DC58E0">
      <w:pPr>
        <w:spacing w:after="0" w:line="240" w:lineRule="auto"/>
        <w:rPr>
          <w:rFonts w:ascii="Times New Roman" w:hAnsi="Times New Roman"/>
          <w:b/>
          <w:sz w:val="24"/>
          <w:szCs w:val="24"/>
        </w:rPr>
      </w:pPr>
    </w:p>
    <w:p w:rsidR="00A23BC4" w:rsidRPr="00A3639C" w:rsidRDefault="00A23BC4" w:rsidP="00DC58E0">
      <w:pPr>
        <w:numPr>
          <w:ilvl w:val="0"/>
          <w:numId w:val="12"/>
        </w:numPr>
        <w:tabs>
          <w:tab w:val="left" w:pos="330"/>
        </w:tabs>
        <w:spacing w:after="0" w:line="240" w:lineRule="auto"/>
        <w:ind w:left="330" w:hanging="330"/>
        <w:jc w:val="both"/>
        <w:rPr>
          <w:rFonts w:ascii="Times New Roman" w:hAnsi="Times New Roman"/>
          <w:sz w:val="24"/>
          <w:szCs w:val="24"/>
        </w:rPr>
      </w:pPr>
      <w:r w:rsidRPr="00A3639C">
        <w:rPr>
          <w:rFonts w:ascii="Times New Roman" w:hAnsi="Times New Roman"/>
          <w:sz w:val="24"/>
          <w:szCs w:val="24"/>
        </w:rPr>
        <w:t xml:space="preserve">Finanšu un kapitāla tirgus komisija [Elektroniskais resurss]. – Resurss aprakstīts 2010.g. 15.aug. – </w:t>
      </w:r>
      <w:hyperlink r:id="rId16" w:history="1">
        <w:r w:rsidRPr="00A3639C">
          <w:rPr>
            <w:rStyle w:val="Hyperlink"/>
            <w:rFonts w:ascii="Times New Roman" w:hAnsi="Times New Roman"/>
            <w:color w:val="auto"/>
            <w:sz w:val="24"/>
            <w:szCs w:val="24"/>
            <w:u w:val="none"/>
          </w:rPr>
          <w:t>http://fktk.lv/lv/statistika/kreditiestades/ceturksna_parskati/2010-08-09_banku_darbiba_latvija_20/</w:t>
        </w:r>
      </w:hyperlink>
      <w:r w:rsidRPr="00A3639C">
        <w:rPr>
          <w:rFonts w:ascii="Times New Roman" w:hAnsi="Times New Roman"/>
          <w:sz w:val="24"/>
          <w:szCs w:val="24"/>
        </w:rPr>
        <w:t>.</w:t>
      </w:r>
    </w:p>
    <w:p w:rsidR="00A23BC4" w:rsidRPr="00A3639C" w:rsidRDefault="00A23BC4" w:rsidP="00DC58E0">
      <w:pPr>
        <w:numPr>
          <w:ilvl w:val="0"/>
          <w:numId w:val="12"/>
        </w:numPr>
        <w:tabs>
          <w:tab w:val="left" w:pos="330"/>
        </w:tabs>
        <w:spacing w:after="0" w:line="240" w:lineRule="auto"/>
        <w:ind w:left="330" w:hanging="330"/>
        <w:jc w:val="both"/>
        <w:rPr>
          <w:rFonts w:ascii="Times New Roman" w:hAnsi="Times New Roman"/>
          <w:sz w:val="24"/>
          <w:szCs w:val="24"/>
        </w:rPr>
      </w:pPr>
      <w:r w:rsidRPr="00A3639C">
        <w:rPr>
          <w:rFonts w:ascii="Times New Roman" w:hAnsi="Times New Roman"/>
          <w:sz w:val="24"/>
          <w:szCs w:val="24"/>
        </w:rPr>
        <w:t xml:space="preserve">Latvijas Banka [Elektroniskais resurss]. – resurss aprakstīts 2010.g. 15.aug. – </w:t>
      </w:r>
      <w:hyperlink r:id="rId17" w:history="1">
        <w:r w:rsidRPr="00A3639C">
          <w:rPr>
            <w:rStyle w:val="Hyperlink"/>
            <w:rFonts w:ascii="Times New Roman" w:hAnsi="Times New Roman"/>
            <w:color w:val="auto"/>
            <w:sz w:val="24"/>
            <w:szCs w:val="24"/>
            <w:u w:val="none"/>
          </w:rPr>
          <w:t>http://www.bank.lv/lat/main/all/sapinfo/presrunas/lta/</w:t>
        </w:r>
      </w:hyperlink>
      <w:r w:rsidRPr="00A3639C">
        <w:rPr>
          <w:rFonts w:ascii="Times New Roman" w:hAnsi="Times New Roman"/>
          <w:sz w:val="24"/>
          <w:szCs w:val="24"/>
        </w:rPr>
        <w:t>.</w:t>
      </w:r>
    </w:p>
    <w:p w:rsidR="00A23BC4" w:rsidRPr="00A3639C" w:rsidRDefault="00A23BC4" w:rsidP="00DC58E0">
      <w:pPr>
        <w:numPr>
          <w:ilvl w:val="0"/>
          <w:numId w:val="12"/>
        </w:numPr>
        <w:tabs>
          <w:tab w:val="left" w:pos="330"/>
        </w:tabs>
        <w:spacing w:after="0" w:line="240" w:lineRule="auto"/>
        <w:ind w:left="330" w:hanging="330"/>
        <w:jc w:val="both"/>
        <w:rPr>
          <w:rFonts w:ascii="Times New Roman" w:hAnsi="Times New Roman"/>
          <w:sz w:val="24"/>
          <w:szCs w:val="24"/>
        </w:rPr>
      </w:pPr>
      <w:r w:rsidRPr="00A3639C">
        <w:rPr>
          <w:rFonts w:ascii="Times New Roman" w:hAnsi="Times New Roman"/>
          <w:sz w:val="24"/>
          <w:szCs w:val="24"/>
        </w:rPr>
        <w:t xml:space="preserve">Revīzijas kompānija Pricewaterhousecoopers [Elektroniskais resurss]. – resurss aprakstīts 2010.g. 15.aug. – </w:t>
      </w:r>
      <w:hyperlink r:id="rId18" w:history="1">
        <w:r w:rsidRPr="00A3639C">
          <w:rPr>
            <w:rStyle w:val="Hyperlink"/>
            <w:rFonts w:ascii="Times New Roman" w:hAnsi="Times New Roman"/>
            <w:color w:val="auto"/>
            <w:sz w:val="24"/>
            <w:szCs w:val="24"/>
            <w:u w:val="none"/>
          </w:rPr>
          <w:t>http://www.pwc.com/lv/lv/news/istermina-taktika-banku-sektors.jhtml</w:t>
        </w:r>
      </w:hyperlink>
      <w:r w:rsidRPr="00A3639C">
        <w:rPr>
          <w:rFonts w:ascii="Times New Roman" w:hAnsi="Times New Roman"/>
          <w:sz w:val="24"/>
          <w:szCs w:val="24"/>
        </w:rPr>
        <w:t>.</w:t>
      </w:r>
    </w:p>
    <w:p w:rsidR="00A23BC4" w:rsidRPr="00A3639C" w:rsidRDefault="00891BF4" w:rsidP="00891BF4">
      <w:pPr>
        <w:numPr>
          <w:ilvl w:val="0"/>
          <w:numId w:val="12"/>
        </w:numPr>
        <w:tabs>
          <w:tab w:val="left" w:pos="330"/>
        </w:tabs>
        <w:spacing w:after="0" w:line="240" w:lineRule="auto"/>
        <w:ind w:left="330" w:hanging="330"/>
        <w:jc w:val="both"/>
        <w:rPr>
          <w:rFonts w:ascii="Times New Roman" w:hAnsi="Times New Roman"/>
          <w:sz w:val="24"/>
          <w:szCs w:val="24"/>
        </w:rPr>
      </w:pPr>
      <w:r w:rsidRPr="00A3639C">
        <w:rPr>
          <w:rFonts w:ascii="Times New Roman" w:hAnsi="Times New Roman"/>
          <w:sz w:val="24"/>
          <w:szCs w:val="24"/>
        </w:rPr>
        <w:t xml:space="preserve">Huizing A., Bouman W. </w:t>
      </w:r>
      <w:r w:rsidR="00A23BC4" w:rsidRPr="00A3639C">
        <w:rPr>
          <w:rFonts w:ascii="Times New Roman" w:hAnsi="Times New Roman"/>
          <w:sz w:val="24"/>
          <w:szCs w:val="24"/>
        </w:rPr>
        <w:t>Knowledge and learning markets and organizations</w:t>
      </w:r>
      <w:r w:rsidRPr="00A3639C">
        <w:rPr>
          <w:rFonts w:ascii="Times New Roman" w:hAnsi="Times New Roman"/>
          <w:sz w:val="24"/>
          <w:szCs w:val="24"/>
        </w:rPr>
        <w:t>// Choo C., Bontis N. (Eds)</w:t>
      </w:r>
      <w:r w:rsidR="00A23BC4" w:rsidRPr="00A3639C">
        <w:rPr>
          <w:rFonts w:ascii="Times New Roman" w:hAnsi="Times New Roman"/>
          <w:sz w:val="24"/>
          <w:szCs w:val="24"/>
        </w:rPr>
        <w:t xml:space="preserve"> The Strategic Management of Intellectual Capital and Organizational Knowledge</w:t>
      </w:r>
      <w:r w:rsidRPr="00A3639C">
        <w:rPr>
          <w:rFonts w:ascii="Times New Roman" w:hAnsi="Times New Roman"/>
          <w:sz w:val="24"/>
          <w:szCs w:val="24"/>
        </w:rPr>
        <w:t>.</w:t>
      </w:r>
      <w:r w:rsidR="00A23BC4" w:rsidRPr="00A3639C">
        <w:rPr>
          <w:rFonts w:ascii="Times New Roman" w:hAnsi="Times New Roman"/>
          <w:sz w:val="24"/>
          <w:szCs w:val="24"/>
        </w:rPr>
        <w:t xml:space="preserve"> – New York: Oxford University Press, 2002. – 185.-204.lpp.</w:t>
      </w:r>
    </w:p>
    <w:p w:rsidR="00A23BC4" w:rsidRPr="00A3639C" w:rsidRDefault="00891BF4" w:rsidP="00DC58E0">
      <w:pPr>
        <w:numPr>
          <w:ilvl w:val="0"/>
          <w:numId w:val="12"/>
        </w:numPr>
        <w:tabs>
          <w:tab w:val="left" w:pos="330"/>
        </w:tabs>
        <w:spacing w:after="0" w:line="240" w:lineRule="auto"/>
        <w:ind w:left="330" w:hanging="330"/>
        <w:jc w:val="both"/>
        <w:rPr>
          <w:rFonts w:ascii="Times New Roman" w:hAnsi="Times New Roman"/>
          <w:sz w:val="24"/>
          <w:szCs w:val="24"/>
        </w:rPr>
      </w:pPr>
      <w:r w:rsidRPr="00A3639C">
        <w:rPr>
          <w:rFonts w:ascii="Times New Roman" w:hAnsi="Times New Roman"/>
          <w:sz w:val="24"/>
          <w:szCs w:val="24"/>
        </w:rPr>
        <w:t xml:space="preserve">Wiig K. </w:t>
      </w:r>
      <w:r w:rsidR="00A23BC4" w:rsidRPr="00A3639C">
        <w:rPr>
          <w:rFonts w:ascii="Times New Roman" w:hAnsi="Times New Roman"/>
          <w:sz w:val="24"/>
          <w:szCs w:val="24"/>
        </w:rPr>
        <w:t>Integrating intellectual c</w:t>
      </w:r>
      <w:r w:rsidRPr="00A3639C">
        <w:rPr>
          <w:rFonts w:ascii="Times New Roman" w:hAnsi="Times New Roman"/>
          <w:sz w:val="24"/>
          <w:szCs w:val="24"/>
        </w:rPr>
        <w:t>apital and knowledge management.</w:t>
      </w:r>
      <w:r w:rsidR="00A23BC4" w:rsidRPr="00A3639C">
        <w:rPr>
          <w:rFonts w:ascii="Times New Roman" w:hAnsi="Times New Roman"/>
          <w:sz w:val="24"/>
          <w:szCs w:val="24"/>
        </w:rPr>
        <w:t xml:space="preserve"> – Long Range Planning, Vol.30, No.3, 1997. - 399.-405.lpp.</w:t>
      </w:r>
    </w:p>
    <w:p w:rsidR="00A23BC4" w:rsidRPr="00F101FB" w:rsidRDefault="00891BF4" w:rsidP="00891BF4">
      <w:pPr>
        <w:numPr>
          <w:ilvl w:val="0"/>
          <w:numId w:val="12"/>
        </w:numPr>
        <w:tabs>
          <w:tab w:val="left" w:pos="330"/>
        </w:tabs>
        <w:spacing w:after="0" w:line="240" w:lineRule="auto"/>
        <w:ind w:left="330" w:hanging="330"/>
        <w:jc w:val="both"/>
        <w:rPr>
          <w:rFonts w:ascii="Times New Roman" w:hAnsi="Times New Roman"/>
          <w:sz w:val="24"/>
          <w:szCs w:val="24"/>
        </w:rPr>
      </w:pPr>
      <w:r>
        <w:rPr>
          <w:rFonts w:ascii="Times New Roman" w:hAnsi="Times New Roman"/>
          <w:sz w:val="24"/>
          <w:szCs w:val="24"/>
        </w:rPr>
        <w:lastRenderedPageBreak/>
        <w:t xml:space="preserve">Spender J, </w:t>
      </w:r>
      <w:r w:rsidR="00A23BC4" w:rsidRPr="00F101FB">
        <w:rPr>
          <w:rFonts w:ascii="Times New Roman" w:hAnsi="Times New Roman"/>
          <w:sz w:val="24"/>
          <w:szCs w:val="24"/>
        </w:rPr>
        <w:t>Knowledge uncertainly and an emergency theory of the firm</w:t>
      </w:r>
      <w:r>
        <w:rPr>
          <w:rFonts w:ascii="Times New Roman" w:hAnsi="Times New Roman"/>
          <w:sz w:val="24"/>
          <w:szCs w:val="24"/>
        </w:rPr>
        <w:t xml:space="preserve"> //</w:t>
      </w:r>
      <w:r w:rsidR="00A23BC4" w:rsidRPr="00F101FB">
        <w:rPr>
          <w:rFonts w:ascii="Times New Roman" w:hAnsi="Times New Roman"/>
          <w:sz w:val="24"/>
          <w:szCs w:val="24"/>
        </w:rPr>
        <w:t xml:space="preserve"> Choo C, Bontis N. (Eds), The Strategic Management of Intellectual Capital and Organizational Knowledge – New York: Oxford University Press, 2002. – 149.-162.lpp.</w:t>
      </w:r>
    </w:p>
    <w:p w:rsidR="00A23BC4" w:rsidRPr="00F101FB" w:rsidRDefault="00891BF4" w:rsidP="00DC58E0">
      <w:pPr>
        <w:numPr>
          <w:ilvl w:val="0"/>
          <w:numId w:val="12"/>
        </w:numPr>
        <w:tabs>
          <w:tab w:val="left" w:pos="330"/>
        </w:tabs>
        <w:spacing w:after="0" w:line="240" w:lineRule="auto"/>
        <w:ind w:left="330" w:hanging="330"/>
        <w:jc w:val="both"/>
        <w:rPr>
          <w:rFonts w:ascii="Times New Roman" w:hAnsi="Times New Roman"/>
          <w:sz w:val="24"/>
          <w:szCs w:val="24"/>
        </w:rPr>
      </w:pPr>
      <w:r>
        <w:rPr>
          <w:rFonts w:ascii="Times New Roman" w:hAnsi="Times New Roman"/>
          <w:sz w:val="24"/>
          <w:szCs w:val="24"/>
        </w:rPr>
        <w:t>Polanyi M.</w:t>
      </w:r>
      <w:r w:rsidR="00A23BC4" w:rsidRPr="00F101FB">
        <w:rPr>
          <w:rFonts w:ascii="Times New Roman" w:hAnsi="Times New Roman"/>
          <w:sz w:val="24"/>
          <w:szCs w:val="24"/>
        </w:rPr>
        <w:t xml:space="preserve"> Personal Knowledge: Toward a Post-critical Philosophy</w:t>
      </w:r>
      <w:r>
        <w:rPr>
          <w:rFonts w:ascii="Times New Roman" w:hAnsi="Times New Roman"/>
          <w:sz w:val="24"/>
          <w:szCs w:val="24"/>
        </w:rPr>
        <w:t>.</w:t>
      </w:r>
      <w:r w:rsidR="00A23BC4" w:rsidRPr="00F101FB">
        <w:rPr>
          <w:rFonts w:ascii="Times New Roman" w:hAnsi="Times New Roman"/>
          <w:sz w:val="24"/>
          <w:szCs w:val="24"/>
        </w:rPr>
        <w:t xml:space="preserve"> – Chikago: University of Chicago Press 1962.</w:t>
      </w:r>
    </w:p>
    <w:p w:rsidR="00A23BC4" w:rsidRPr="00F101FB" w:rsidRDefault="00D32E3E" w:rsidP="00D32E3E">
      <w:pPr>
        <w:numPr>
          <w:ilvl w:val="0"/>
          <w:numId w:val="12"/>
        </w:numPr>
        <w:tabs>
          <w:tab w:val="left" w:pos="330"/>
        </w:tabs>
        <w:spacing w:after="0" w:line="240" w:lineRule="auto"/>
        <w:ind w:left="330" w:hanging="330"/>
        <w:jc w:val="both"/>
        <w:rPr>
          <w:rFonts w:ascii="Times New Roman" w:hAnsi="Times New Roman"/>
          <w:sz w:val="24"/>
          <w:szCs w:val="24"/>
        </w:rPr>
      </w:pPr>
      <w:r>
        <w:rPr>
          <w:rFonts w:ascii="Times New Roman" w:hAnsi="Times New Roman"/>
          <w:sz w:val="24"/>
          <w:szCs w:val="24"/>
        </w:rPr>
        <w:t>Sveiby K.</w:t>
      </w:r>
      <w:r w:rsidR="00A23BC4" w:rsidRPr="00F101FB">
        <w:rPr>
          <w:rFonts w:ascii="Times New Roman" w:hAnsi="Times New Roman"/>
          <w:sz w:val="24"/>
          <w:szCs w:val="24"/>
        </w:rPr>
        <w:t xml:space="preserve"> The New Organizational Wealth</w:t>
      </w:r>
      <w:r>
        <w:rPr>
          <w:rFonts w:ascii="Times New Roman" w:hAnsi="Times New Roman"/>
          <w:sz w:val="24"/>
          <w:szCs w:val="24"/>
        </w:rPr>
        <w:t xml:space="preserve">. </w:t>
      </w:r>
      <w:r w:rsidR="00A23BC4" w:rsidRPr="00F101FB">
        <w:rPr>
          <w:rFonts w:ascii="Times New Roman" w:hAnsi="Times New Roman"/>
          <w:sz w:val="24"/>
          <w:szCs w:val="24"/>
        </w:rPr>
        <w:t>-</w:t>
      </w:r>
      <w:r>
        <w:rPr>
          <w:rFonts w:ascii="Times New Roman" w:hAnsi="Times New Roman"/>
          <w:sz w:val="24"/>
          <w:szCs w:val="24"/>
        </w:rPr>
        <w:t xml:space="preserve"> </w:t>
      </w:r>
      <w:r w:rsidR="00A23BC4" w:rsidRPr="00F101FB">
        <w:rPr>
          <w:rFonts w:ascii="Times New Roman" w:hAnsi="Times New Roman"/>
          <w:sz w:val="24"/>
          <w:szCs w:val="24"/>
        </w:rPr>
        <w:t>San Franscisco: Berrett-Koehler Publishers, 1997.</w:t>
      </w:r>
    </w:p>
    <w:p w:rsidR="00A23BC4" w:rsidRPr="00F101FB" w:rsidRDefault="00D32E3E" w:rsidP="00D32E3E">
      <w:pPr>
        <w:numPr>
          <w:ilvl w:val="0"/>
          <w:numId w:val="12"/>
        </w:numPr>
        <w:tabs>
          <w:tab w:val="left" w:pos="330"/>
        </w:tabs>
        <w:spacing w:after="0" w:line="240" w:lineRule="auto"/>
        <w:ind w:left="330" w:hanging="330"/>
        <w:jc w:val="both"/>
        <w:rPr>
          <w:rFonts w:ascii="Times New Roman" w:hAnsi="Times New Roman"/>
          <w:sz w:val="24"/>
          <w:szCs w:val="24"/>
        </w:rPr>
      </w:pPr>
      <w:r>
        <w:rPr>
          <w:rFonts w:ascii="Times New Roman" w:hAnsi="Times New Roman"/>
          <w:sz w:val="24"/>
          <w:szCs w:val="24"/>
        </w:rPr>
        <w:t xml:space="preserve">Cohen W., Levinthal, D. </w:t>
      </w:r>
      <w:r w:rsidR="00A23BC4" w:rsidRPr="00F101FB">
        <w:rPr>
          <w:rFonts w:ascii="Times New Roman" w:hAnsi="Times New Roman"/>
          <w:sz w:val="24"/>
          <w:szCs w:val="24"/>
        </w:rPr>
        <w:t>Absorptive capacity: a new perspective on learning and innovation</w:t>
      </w:r>
      <w:r>
        <w:rPr>
          <w:rFonts w:ascii="Times New Roman" w:hAnsi="Times New Roman"/>
          <w:sz w:val="24"/>
          <w:szCs w:val="24"/>
        </w:rPr>
        <w:t>.</w:t>
      </w:r>
      <w:r w:rsidR="00A23BC4" w:rsidRPr="00F101FB">
        <w:rPr>
          <w:rFonts w:ascii="Times New Roman" w:hAnsi="Times New Roman"/>
          <w:sz w:val="24"/>
          <w:szCs w:val="24"/>
        </w:rPr>
        <w:t>-  Administrative Scince Quarterly, Vol 35 No.1, 1990. – 128.-152.lpp.</w:t>
      </w:r>
    </w:p>
    <w:p w:rsidR="00A23BC4" w:rsidRPr="00F101FB" w:rsidRDefault="00D32E3E" w:rsidP="00D32E3E">
      <w:pPr>
        <w:numPr>
          <w:ilvl w:val="0"/>
          <w:numId w:val="12"/>
        </w:numPr>
        <w:tabs>
          <w:tab w:val="left" w:pos="330"/>
        </w:tabs>
        <w:spacing w:after="0" w:line="240" w:lineRule="auto"/>
        <w:ind w:left="330" w:hanging="330"/>
        <w:jc w:val="both"/>
        <w:rPr>
          <w:rFonts w:ascii="Times New Roman" w:hAnsi="Times New Roman"/>
          <w:sz w:val="24"/>
          <w:szCs w:val="24"/>
        </w:rPr>
      </w:pPr>
      <w:r>
        <w:rPr>
          <w:rFonts w:ascii="Times New Roman" w:hAnsi="Times New Roman"/>
          <w:sz w:val="24"/>
          <w:szCs w:val="24"/>
        </w:rPr>
        <w:t xml:space="preserve">Nonaka I. </w:t>
      </w:r>
      <w:r w:rsidR="00A23BC4" w:rsidRPr="00F101FB">
        <w:rPr>
          <w:rFonts w:ascii="Times New Roman" w:hAnsi="Times New Roman"/>
          <w:sz w:val="24"/>
          <w:szCs w:val="24"/>
        </w:rPr>
        <w:t>The knowledge-creating company</w:t>
      </w:r>
      <w:r>
        <w:rPr>
          <w:rFonts w:ascii="Times New Roman" w:hAnsi="Times New Roman"/>
          <w:sz w:val="24"/>
          <w:szCs w:val="24"/>
        </w:rPr>
        <w:t xml:space="preserve">. - </w:t>
      </w:r>
      <w:r w:rsidR="00A23BC4" w:rsidRPr="00F101FB">
        <w:rPr>
          <w:rFonts w:ascii="Times New Roman" w:hAnsi="Times New Roman"/>
          <w:sz w:val="24"/>
          <w:szCs w:val="24"/>
        </w:rPr>
        <w:t>Harvard Business Review, No. Novembris - Decembris, 1991. – 96.-104.lpp.</w:t>
      </w:r>
    </w:p>
    <w:p w:rsidR="00A23BC4" w:rsidRPr="00F101FB" w:rsidRDefault="00A23BC4" w:rsidP="00DC58E0">
      <w:pPr>
        <w:numPr>
          <w:ilvl w:val="0"/>
          <w:numId w:val="12"/>
        </w:numPr>
        <w:tabs>
          <w:tab w:val="left" w:pos="330"/>
        </w:tabs>
        <w:spacing w:after="0" w:line="240" w:lineRule="auto"/>
        <w:ind w:left="330" w:hanging="330"/>
        <w:jc w:val="both"/>
        <w:rPr>
          <w:rFonts w:ascii="Times New Roman" w:hAnsi="Times New Roman"/>
          <w:sz w:val="24"/>
          <w:szCs w:val="24"/>
        </w:rPr>
      </w:pPr>
      <w:r w:rsidRPr="00F101FB">
        <w:rPr>
          <w:rFonts w:ascii="Times New Roman" w:hAnsi="Times New Roman"/>
          <w:sz w:val="24"/>
          <w:szCs w:val="24"/>
        </w:rPr>
        <w:t>Bonti</w:t>
      </w:r>
      <w:r w:rsidR="00D32E3E">
        <w:rPr>
          <w:rFonts w:ascii="Times New Roman" w:hAnsi="Times New Roman"/>
          <w:sz w:val="24"/>
          <w:szCs w:val="24"/>
        </w:rPr>
        <w:t xml:space="preserve">s N., Crossan M., Hulland, J. </w:t>
      </w:r>
      <w:r w:rsidRPr="00F101FB">
        <w:rPr>
          <w:rFonts w:ascii="Times New Roman" w:hAnsi="Times New Roman"/>
          <w:sz w:val="24"/>
          <w:szCs w:val="24"/>
        </w:rPr>
        <w:t>Managing organizational learning systems by alignin</w:t>
      </w:r>
      <w:r w:rsidR="00D32E3E">
        <w:rPr>
          <w:rFonts w:ascii="Times New Roman" w:hAnsi="Times New Roman"/>
          <w:sz w:val="24"/>
          <w:szCs w:val="24"/>
        </w:rPr>
        <w:t>g stocks and flows.</w:t>
      </w:r>
      <w:r w:rsidRPr="00F101FB">
        <w:rPr>
          <w:rFonts w:ascii="Times New Roman" w:hAnsi="Times New Roman"/>
          <w:sz w:val="24"/>
          <w:szCs w:val="24"/>
        </w:rPr>
        <w:t xml:space="preserve"> - Journal of Management Studies, Vol 39 No.4, 2002. – 437.-469.lpp.</w:t>
      </w:r>
    </w:p>
    <w:p w:rsidR="00A23BC4" w:rsidRPr="00F101FB" w:rsidRDefault="00D32E3E" w:rsidP="00D32E3E">
      <w:pPr>
        <w:numPr>
          <w:ilvl w:val="0"/>
          <w:numId w:val="12"/>
        </w:numPr>
        <w:tabs>
          <w:tab w:val="left" w:pos="330"/>
        </w:tabs>
        <w:spacing w:after="0" w:line="240" w:lineRule="auto"/>
        <w:ind w:left="330" w:hanging="330"/>
        <w:jc w:val="both"/>
        <w:rPr>
          <w:rFonts w:ascii="Times New Roman" w:hAnsi="Times New Roman"/>
          <w:sz w:val="24"/>
          <w:szCs w:val="24"/>
        </w:rPr>
      </w:pPr>
      <w:r>
        <w:rPr>
          <w:rFonts w:ascii="Times New Roman" w:hAnsi="Times New Roman"/>
          <w:sz w:val="24"/>
          <w:szCs w:val="24"/>
        </w:rPr>
        <w:t>Bryant S. E. T</w:t>
      </w:r>
      <w:r w:rsidR="00A23BC4" w:rsidRPr="00F101FB">
        <w:rPr>
          <w:rFonts w:ascii="Times New Roman" w:hAnsi="Times New Roman"/>
          <w:sz w:val="24"/>
          <w:szCs w:val="24"/>
        </w:rPr>
        <w:t>he impact of peer mentoring on organizational</w:t>
      </w:r>
      <w:r>
        <w:rPr>
          <w:rFonts w:ascii="Times New Roman" w:hAnsi="Times New Roman"/>
          <w:sz w:val="24"/>
          <w:szCs w:val="24"/>
        </w:rPr>
        <w:t xml:space="preserve"> knowledge creation and sharing.</w:t>
      </w:r>
      <w:r w:rsidR="00A23BC4" w:rsidRPr="00F101FB">
        <w:rPr>
          <w:rFonts w:ascii="Times New Roman" w:hAnsi="Times New Roman"/>
          <w:sz w:val="24"/>
          <w:szCs w:val="24"/>
        </w:rPr>
        <w:t xml:space="preserve"> – Group and Organizational Management, Vol.30 No.3, 2005. – 319.-338.lpp.</w:t>
      </w:r>
    </w:p>
    <w:p w:rsidR="00A23BC4" w:rsidRPr="00F101FB" w:rsidRDefault="00D32E3E" w:rsidP="00DC58E0">
      <w:pPr>
        <w:numPr>
          <w:ilvl w:val="0"/>
          <w:numId w:val="12"/>
        </w:numPr>
        <w:tabs>
          <w:tab w:val="left" w:pos="330"/>
        </w:tabs>
        <w:spacing w:after="0" w:line="240" w:lineRule="auto"/>
        <w:ind w:left="330" w:hanging="330"/>
        <w:jc w:val="both"/>
        <w:rPr>
          <w:rFonts w:ascii="Times New Roman" w:hAnsi="Times New Roman"/>
          <w:sz w:val="24"/>
          <w:szCs w:val="24"/>
        </w:rPr>
      </w:pPr>
      <w:r>
        <w:rPr>
          <w:rFonts w:ascii="Times New Roman" w:hAnsi="Times New Roman"/>
          <w:sz w:val="24"/>
          <w:szCs w:val="24"/>
        </w:rPr>
        <w:t xml:space="preserve">Mullen E.J., Noe R. A. </w:t>
      </w:r>
      <w:r w:rsidR="00A23BC4" w:rsidRPr="00F101FB">
        <w:rPr>
          <w:rFonts w:ascii="Times New Roman" w:hAnsi="Times New Roman"/>
          <w:sz w:val="24"/>
          <w:szCs w:val="24"/>
        </w:rPr>
        <w:t xml:space="preserve">The mentoring information Exchange; when do mentors seek </w:t>
      </w:r>
      <w:r>
        <w:rPr>
          <w:rFonts w:ascii="Times New Roman" w:hAnsi="Times New Roman"/>
          <w:sz w:val="24"/>
          <w:szCs w:val="24"/>
        </w:rPr>
        <w:t>information from their proteges.</w:t>
      </w:r>
      <w:r w:rsidR="00A23BC4" w:rsidRPr="00F101FB">
        <w:rPr>
          <w:rFonts w:ascii="Times New Roman" w:hAnsi="Times New Roman"/>
          <w:sz w:val="24"/>
          <w:szCs w:val="24"/>
        </w:rPr>
        <w:t xml:space="preserve"> – Journal of Organizational Begavior, Vol.2 No.2, 1999. - 233.-242.lpp.</w:t>
      </w:r>
    </w:p>
    <w:p w:rsidR="00782864" w:rsidRPr="00F101FB" w:rsidRDefault="00782864" w:rsidP="00F101FB">
      <w:pPr>
        <w:spacing w:after="0" w:line="240" w:lineRule="auto"/>
        <w:jc w:val="both"/>
        <w:rPr>
          <w:rFonts w:ascii="Times New Roman" w:hAnsi="Times New Roman"/>
          <w:b/>
          <w:sz w:val="24"/>
          <w:szCs w:val="24"/>
        </w:rPr>
      </w:pPr>
    </w:p>
    <w:p w:rsidR="00782864" w:rsidRPr="00F101FB" w:rsidRDefault="00782864" w:rsidP="00F101FB">
      <w:pPr>
        <w:pStyle w:val="BodyText"/>
        <w:autoSpaceDE w:val="0"/>
        <w:autoSpaceDN w:val="0"/>
        <w:adjustRightInd w:val="0"/>
        <w:rPr>
          <w:lang w:val="en-GB"/>
        </w:rPr>
      </w:pPr>
      <w:r w:rsidRPr="00F101FB">
        <w:rPr>
          <w:b/>
          <w:lang w:val="en-GB"/>
        </w:rPr>
        <w:t>Erina, J</w:t>
      </w:r>
      <w:r w:rsidR="006F7ADF" w:rsidRPr="006F7ADF">
        <w:rPr>
          <w:b/>
          <w:bCs/>
          <w:lang w:val="en-GB"/>
        </w:rPr>
        <w:t>ana</w:t>
      </w:r>
      <w:r w:rsidRPr="00F101FB">
        <w:rPr>
          <w:lang w:val="en-GB"/>
        </w:rPr>
        <w:t xml:space="preserve">, Mg. the Science of Management and Administration from 2006. in </w:t>
      </w:r>
      <w:smartTag w:uri="urn:schemas-microsoft-com:office:smarttags" w:element="place">
        <w:smartTag w:uri="urn:schemas-microsoft-com:office:smarttags" w:element="PlaceName">
          <w:r w:rsidRPr="00F101FB">
            <w:rPr>
              <w:lang w:val="en-GB"/>
            </w:rPr>
            <w:t>Daugavpils</w:t>
          </w:r>
        </w:smartTag>
        <w:r w:rsidRPr="00F101FB">
          <w:rPr>
            <w:lang w:val="en-GB"/>
          </w:rPr>
          <w:t xml:space="preserve"> </w:t>
        </w:r>
        <w:smartTag w:uri="urn:schemas-microsoft-com:office:smarttags" w:element="PlaceType">
          <w:r w:rsidRPr="00F101FB">
            <w:rPr>
              <w:lang w:val="en-GB"/>
            </w:rPr>
            <w:t>University</w:t>
          </w:r>
        </w:smartTag>
      </w:smartTag>
      <w:r w:rsidRPr="00F101FB">
        <w:rPr>
          <w:lang w:val="en-GB"/>
        </w:rPr>
        <w:t xml:space="preserve">. Professional Master`s degree in State Administration. Erina, J. is working as a manager of institution client service in Citadele bank, 2a Republikas square, </w:t>
      </w:r>
      <w:smartTag w:uri="urn:schemas-microsoft-com:office:smarttags" w:element="place">
        <w:smartTag w:uri="urn:schemas-microsoft-com:office:smarttags" w:element="City">
          <w:r w:rsidRPr="00F101FB">
            <w:rPr>
              <w:lang w:val="en-GB"/>
            </w:rPr>
            <w:t>Riga</w:t>
          </w:r>
        </w:smartTag>
        <w:r w:rsidRPr="00F101FB">
          <w:rPr>
            <w:lang w:val="en-GB"/>
          </w:rPr>
          <w:t xml:space="preserve">, </w:t>
        </w:r>
        <w:smartTag w:uri="urn:schemas-microsoft-com:office:smarttags" w:element="country-region">
          <w:r w:rsidRPr="00F101FB">
            <w:rPr>
              <w:lang w:val="en-GB"/>
            </w:rPr>
            <w:t>Latvia</w:t>
          </w:r>
        </w:smartTag>
      </w:smartTag>
      <w:r w:rsidRPr="00F101FB">
        <w:rPr>
          <w:lang w:val="en-GB"/>
        </w:rPr>
        <w:t>, e-mail: Jana.Erina@rtu.lv</w:t>
      </w:r>
      <w:r w:rsidR="002345BB" w:rsidRPr="00F101FB">
        <w:rPr>
          <w:lang w:val="en-GB"/>
        </w:rPr>
        <w:t>.</w:t>
      </w:r>
    </w:p>
    <w:p w:rsidR="00F52C72" w:rsidRDefault="00F52C72" w:rsidP="00F52C72">
      <w:pPr>
        <w:pStyle w:val="BodyText"/>
        <w:autoSpaceDE w:val="0"/>
        <w:autoSpaceDN w:val="0"/>
        <w:adjustRightInd w:val="0"/>
        <w:rPr>
          <w:b/>
          <w:lang w:val="en-GB"/>
        </w:rPr>
      </w:pPr>
    </w:p>
    <w:p w:rsidR="00782864" w:rsidRDefault="006F7ADF" w:rsidP="00F52C72">
      <w:pPr>
        <w:pStyle w:val="BodyText"/>
        <w:autoSpaceDE w:val="0"/>
        <w:autoSpaceDN w:val="0"/>
        <w:adjustRightInd w:val="0"/>
        <w:rPr>
          <w:lang w:val="en-GB"/>
        </w:rPr>
      </w:pPr>
      <w:r>
        <w:rPr>
          <w:b/>
          <w:lang w:val="en-GB"/>
        </w:rPr>
        <w:t>Lā</w:t>
      </w:r>
      <w:r w:rsidR="00782864" w:rsidRPr="00F101FB">
        <w:rPr>
          <w:b/>
          <w:lang w:val="en-GB"/>
        </w:rPr>
        <w:t>ce, N</w:t>
      </w:r>
      <w:r>
        <w:rPr>
          <w:b/>
          <w:lang w:val="en-GB"/>
        </w:rPr>
        <w:t>ataļja</w:t>
      </w:r>
      <w:r w:rsidR="00782864" w:rsidRPr="00F101FB">
        <w:rPr>
          <w:lang w:val="en-GB"/>
        </w:rPr>
        <w:t xml:space="preserve">, professor, </w:t>
      </w:r>
      <w:smartTag w:uri="urn:schemas-microsoft-com:office:smarttags" w:element="PlaceName">
        <w:r w:rsidR="00782864" w:rsidRPr="00F101FB">
          <w:rPr>
            <w:lang w:val="en-GB"/>
          </w:rPr>
          <w:t>Riga</w:t>
        </w:r>
      </w:smartTag>
      <w:r w:rsidR="00782864" w:rsidRPr="00F101FB">
        <w:rPr>
          <w:lang w:val="en-GB"/>
        </w:rPr>
        <w:t xml:space="preserve"> </w:t>
      </w:r>
      <w:smartTag w:uri="urn:schemas-microsoft-com:office:smarttags" w:element="PlaceName">
        <w:r w:rsidR="00782864" w:rsidRPr="00F101FB">
          <w:rPr>
            <w:lang w:val="en-GB"/>
          </w:rPr>
          <w:t>Technical</w:t>
        </w:r>
      </w:smartTag>
      <w:r w:rsidR="00782864" w:rsidRPr="00F101FB">
        <w:rPr>
          <w:lang w:val="en-GB"/>
        </w:rPr>
        <w:t xml:space="preserve"> </w:t>
      </w:r>
      <w:smartTag w:uri="urn:schemas-microsoft-com:office:smarttags" w:element="PlaceType">
        <w:r w:rsidR="002345BB" w:rsidRPr="00F101FB">
          <w:rPr>
            <w:lang w:val="en-GB"/>
          </w:rPr>
          <w:t>University</w:t>
        </w:r>
      </w:smartTag>
      <w:r w:rsidR="00782864" w:rsidRPr="00F101FB">
        <w:rPr>
          <w:lang w:val="en-GB"/>
        </w:rPr>
        <w:t xml:space="preserve">, </w:t>
      </w:r>
      <w:smartTag w:uri="urn:schemas-microsoft-com:office:smarttags" w:element="Street">
        <w:smartTag w:uri="urn:schemas-microsoft-com:office:smarttags" w:element="address">
          <w:r w:rsidR="00782864" w:rsidRPr="00F101FB">
            <w:rPr>
              <w:lang w:val="en-GB"/>
            </w:rPr>
            <w:t>1</w:t>
          </w:r>
          <w:r w:rsidR="00F52C72">
            <w:rPr>
              <w:lang w:val="en-GB"/>
            </w:rPr>
            <w:t>/7 Meza</w:t>
          </w:r>
          <w:r w:rsidR="00782864" w:rsidRPr="00F101FB">
            <w:rPr>
              <w:lang w:val="en-GB"/>
            </w:rPr>
            <w:t xml:space="preserve"> street</w:t>
          </w:r>
        </w:smartTag>
      </w:smartTag>
      <w:r w:rsidR="00782864" w:rsidRPr="00F101FB">
        <w:rPr>
          <w:lang w:val="en-GB"/>
        </w:rPr>
        <w:t xml:space="preserve">, </w:t>
      </w:r>
      <w:smartTag w:uri="urn:schemas-microsoft-com:office:smarttags" w:element="City">
        <w:r w:rsidR="00782864" w:rsidRPr="00F101FB">
          <w:rPr>
            <w:lang w:val="en-GB"/>
          </w:rPr>
          <w:t>Riga</w:t>
        </w:r>
      </w:smartTag>
      <w:r w:rsidR="00782864" w:rsidRPr="00F101FB">
        <w:rPr>
          <w:lang w:val="en-GB"/>
        </w:rPr>
        <w:t xml:space="preserve">, </w:t>
      </w:r>
      <w:r w:rsidR="00F52C72">
        <w:rPr>
          <w:lang w:val="en-GB"/>
        </w:rPr>
        <w:t xml:space="preserve">LV-1007, </w:t>
      </w:r>
      <w:smartTag w:uri="urn:schemas-microsoft-com:office:smarttags" w:element="country-region">
        <w:smartTag w:uri="urn:schemas-microsoft-com:office:smarttags" w:element="place">
          <w:r w:rsidR="00782864" w:rsidRPr="00F101FB">
            <w:rPr>
              <w:lang w:val="en-GB"/>
            </w:rPr>
            <w:t>Latvia</w:t>
          </w:r>
        </w:smartTag>
      </w:smartTag>
      <w:r w:rsidR="00782864" w:rsidRPr="00F101FB">
        <w:rPr>
          <w:lang w:val="en-GB"/>
        </w:rPr>
        <w:t xml:space="preserve">, e-mail: </w:t>
      </w:r>
      <w:hyperlink r:id="rId19" w:history="1">
        <w:r w:rsidR="002345BB" w:rsidRPr="00F101FB">
          <w:rPr>
            <w:rStyle w:val="Hyperlink"/>
            <w:color w:val="auto"/>
            <w:lang w:val="en-GB"/>
          </w:rPr>
          <w:t>Natalja.Lace@rtu.lv</w:t>
        </w:r>
      </w:hyperlink>
      <w:r w:rsidR="002345BB" w:rsidRPr="00F101FB">
        <w:rPr>
          <w:lang w:val="en-GB"/>
        </w:rPr>
        <w:t>.</w:t>
      </w:r>
    </w:p>
    <w:p w:rsidR="00F52C72" w:rsidRPr="00F101FB" w:rsidRDefault="00F52C72" w:rsidP="00F52C72">
      <w:pPr>
        <w:pStyle w:val="BodyText"/>
        <w:autoSpaceDE w:val="0"/>
        <w:autoSpaceDN w:val="0"/>
        <w:adjustRightInd w:val="0"/>
        <w:rPr>
          <w:lang w:val="en-GB"/>
        </w:rPr>
      </w:pPr>
    </w:p>
    <w:p w:rsidR="00F101FB" w:rsidRPr="00F101FB" w:rsidRDefault="00433957" w:rsidP="00433957">
      <w:pPr>
        <w:spacing w:after="0" w:line="240" w:lineRule="auto"/>
        <w:rPr>
          <w:rFonts w:ascii="Times New Roman" w:hAnsi="Times New Roman"/>
          <w:b/>
          <w:sz w:val="24"/>
          <w:szCs w:val="24"/>
        </w:rPr>
      </w:pPr>
      <w:r>
        <w:rPr>
          <w:rFonts w:ascii="Times New Roman" w:hAnsi="Times New Roman"/>
          <w:b/>
          <w:sz w:val="24"/>
          <w:szCs w:val="24"/>
        </w:rPr>
        <w:t>Eriņ</w:t>
      </w:r>
      <w:r w:rsidRPr="00F101FB">
        <w:rPr>
          <w:rFonts w:ascii="Times New Roman" w:hAnsi="Times New Roman"/>
          <w:b/>
          <w:sz w:val="24"/>
          <w:szCs w:val="24"/>
        </w:rPr>
        <w:t xml:space="preserve">a, J; Lace, N </w:t>
      </w:r>
      <w:r w:rsidR="00F101FB" w:rsidRPr="00F101FB">
        <w:rPr>
          <w:rFonts w:ascii="Times New Roman" w:hAnsi="Times New Roman"/>
          <w:b/>
          <w:sz w:val="24"/>
          <w:szCs w:val="24"/>
        </w:rPr>
        <w:t>Zin</w:t>
      </w:r>
      <w:r>
        <w:rPr>
          <w:rFonts w:ascii="Times New Roman" w:hAnsi="Times New Roman"/>
          <w:b/>
          <w:sz w:val="24"/>
          <w:szCs w:val="24"/>
        </w:rPr>
        <w:t>āšanu vadīšanas nepieciešamība k</w:t>
      </w:r>
      <w:r w:rsidR="00F101FB" w:rsidRPr="00F101FB">
        <w:rPr>
          <w:rFonts w:ascii="Times New Roman" w:hAnsi="Times New Roman"/>
          <w:b/>
          <w:sz w:val="24"/>
          <w:szCs w:val="24"/>
        </w:rPr>
        <w:t>omercbankās</w:t>
      </w:r>
    </w:p>
    <w:p w:rsidR="00F101FB" w:rsidRPr="00F101FB" w:rsidRDefault="00F101FB" w:rsidP="00F101FB">
      <w:pPr>
        <w:spacing w:after="0" w:line="240" w:lineRule="auto"/>
        <w:jc w:val="both"/>
        <w:rPr>
          <w:rFonts w:ascii="Times New Roman" w:hAnsi="Times New Roman"/>
          <w:sz w:val="24"/>
          <w:szCs w:val="24"/>
        </w:rPr>
      </w:pPr>
      <w:r w:rsidRPr="00F101FB">
        <w:rPr>
          <w:rFonts w:ascii="Times New Roman" w:hAnsi="Times New Roman"/>
          <w:sz w:val="24"/>
          <w:szCs w:val="24"/>
        </w:rPr>
        <w:t>Viena no mūsdienu ekonomikas īpatnībām ir tā, ka nevis tradicionālie ražošanas faktori, bet gan zināšanas ir nozīmīgākās pievienotās vērtības un organizāciju konkurences priekšrocību veidotājas, tādejādi iezīmējot jaunu zināšanu ekonomikas laikmeta sākumu, kā vienu no galvenajiem un primārajiem kapitāla veidošanas resursiem izvirzot Intelektuālo kapitālu.</w:t>
      </w:r>
    </w:p>
    <w:p w:rsidR="00F101FB" w:rsidRPr="00F101FB" w:rsidRDefault="00F101FB" w:rsidP="00F101FB">
      <w:pPr>
        <w:spacing w:after="0" w:line="240" w:lineRule="auto"/>
        <w:jc w:val="both"/>
        <w:rPr>
          <w:rFonts w:ascii="Times New Roman" w:hAnsi="Times New Roman"/>
          <w:sz w:val="24"/>
          <w:szCs w:val="24"/>
        </w:rPr>
      </w:pPr>
      <w:r w:rsidRPr="00F101FB">
        <w:rPr>
          <w:rFonts w:ascii="Times New Roman" w:hAnsi="Times New Roman"/>
          <w:sz w:val="24"/>
          <w:szCs w:val="24"/>
        </w:rPr>
        <w:t>Šī raksta mērķis ir, pirmkārt, atspoguļot komercbanku darbinieku kompetenču līmeni un otrkārt noteikt kā Intelektuālais kapitāls ietekmē komercbanku finanšu rādītājus.</w:t>
      </w:r>
    </w:p>
    <w:p w:rsidR="00F101FB" w:rsidRPr="00F101FB" w:rsidRDefault="00F101FB" w:rsidP="00F101FB">
      <w:pPr>
        <w:spacing w:after="0" w:line="240" w:lineRule="auto"/>
        <w:jc w:val="both"/>
        <w:rPr>
          <w:rFonts w:ascii="Times New Roman" w:hAnsi="Times New Roman"/>
          <w:sz w:val="24"/>
          <w:szCs w:val="24"/>
        </w:rPr>
      </w:pPr>
      <w:r w:rsidRPr="00F101FB">
        <w:rPr>
          <w:rFonts w:ascii="Times New Roman" w:hAnsi="Times New Roman"/>
          <w:sz w:val="24"/>
          <w:szCs w:val="24"/>
        </w:rPr>
        <w:t>Pētījumā tika iz</w:t>
      </w:r>
      <w:r w:rsidR="003D4ACC">
        <w:rPr>
          <w:rFonts w:ascii="Times New Roman" w:hAnsi="Times New Roman"/>
          <w:sz w:val="24"/>
          <w:szCs w:val="24"/>
        </w:rPr>
        <w:t>mantotas šādas metodes: kontenta</w:t>
      </w:r>
      <w:r w:rsidRPr="00F101FB">
        <w:rPr>
          <w:rFonts w:ascii="Times New Roman" w:hAnsi="Times New Roman"/>
          <w:sz w:val="24"/>
          <w:szCs w:val="24"/>
        </w:rPr>
        <w:t xml:space="preserve"> analīze, statistiskā datu apstrāde u.c.</w:t>
      </w:r>
    </w:p>
    <w:p w:rsidR="00F101FB" w:rsidRPr="00F101FB" w:rsidRDefault="00F101FB" w:rsidP="00F101FB">
      <w:pPr>
        <w:spacing w:after="0" w:line="240" w:lineRule="auto"/>
        <w:jc w:val="both"/>
        <w:rPr>
          <w:rFonts w:ascii="Times New Roman" w:hAnsi="Times New Roman"/>
          <w:sz w:val="24"/>
          <w:szCs w:val="24"/>
        </w:rPr>
      </w:pPr>
      <w:r w:rsidRPr="00F101FB">
        <w:rPr>
          <w:rFonts w:ascii="Times New Roman" w:hAnsi="Times New Roman"/>
          <w:i/>
          <w:sz w:val="24"/>
          <w:szCs w:val="24"/>
        </w:rPr>
        <w:t>Metodoloģija</w:t>
      </w:r>
      <w:r w:rsidRPr="00F101FB">
        <w:rPr>
          <w:rFonts w:ascii="Times New Roman" w:hAnsi="Times New Roman"/>
          <w:b/>
          <w:sz w:val="24"/>
          <w:szCs w:val="24"/>
        </w:rPr>
        <w:t xml:space="preserve"> </w:t>
      </w:r>
      <w:r w:rsidRPr="00F101FB">
        <w:rPr>
          <w:rFonts w:ascii="Times New Roman" w:hAnsi="Times New Roman"/>
          <w:sz w:val="24"/>
          <w:szCs w:val="24"/>
        </w:rPr>
        <w:t>– veiktajā pētījumā izvirzītās hipotēzes par Intelektuālā kapitāla ietekmi uz finanšu rādītājiem tika pārbaudītas izmantojot anketēšanu un apkopojot komercbanku gadu pārskatus.</w:t>
      </w:r>
    </w:p>
    <w:p w:rsidR="00F101FB" w:rsidRPr="00F101FB" w:rsidRDefault="00F101FB" w:rsidP="00F101FB">
      <w:pPr>
        <w:spacing w:after="0" w:line="240" w:lineRule="auto"/>
        <w:jc w:val="both"/>
        <w:rPr>
          <w:rFonts w:ascii="Times New Roman" w:hAnsi="Times New Roman"/>
          <w:sz w:val="24"/>
          <w:szCs w:val="24"/>
        </w:rPr>
      </w:pPr>
      <w:r w:rsidRPr="00F101FB">
        <w:rPr>
          <w:rFonts w:ascii="Times New Roman" w:hAnsi="Times New Roman"/>
          <w:sz w:val="24"/>
          <w:szCs w:val="24"/>
        </w:rPr>
        <w:t>Iegūtie rezultāti apliecina, ka katrai komercbankai ir atšķirīgi Intelektuālā kapitāla rādītāji un, ka tie spēj ietekmēt finanšu rādītājus.</w:t>
      </w:r>
    </w:p>
    <w:p w:rsidR="00F101FB" w:rsidRDefault="00F101FB" w:rsidP="00F101FB">
      <w:pPr>
        <w:spacing w:after="0" w:line="240" w:lineRule="auto"/>
        <w:jc w:val="both"/>
        <w:rPr>
          <w:rFonts w:ascii="Times New Roman" w:hAnsi="Times New Roman"/>
          <w:sz w:val="24"/>
          <w:szCs w:val="24"/>
        </w:rPr>
      </w:pPr>
    </w:p>
    <w:p w:rsidR="006F7ADF" w:rsidRPr="00F101FB" w:rsidRDefault="006F7ADF" w:rsidP="006F7ADF">
      <w:pPr>
        <w:spacing w:after="0" w:line="240" w:lineRule="auto"/>
        <w:jc w:val="both"/>
        <w:rPr>
          <w:rFonts w:ascii="Times New Roman" w:hAnsi="Times New Roman"/>
          <w:b/>
          <w:sz w:val="24"/>
          <w:szCs w:val="24"/>
        </w:rPr>
      </w:pPr>
      <w:r w:rsidRPr="00F101FB">
        <w:rPr>
          <w:rFonts w:ascii="Times New Roman" w:hAnsi="Times New Roman"/>
          <w:b/>
          <w:sz w:val="24"/>
          <w:szCs w:val="24"/>
        </w:rPr>
        <w:t>Erina, J; Lace, N; Needs for knowledge management in Commercial banks</w:t>
      </w:r>
    </w:p>
    <w:p w:rsidR="004C5184" w:rsidRPr="00F101FB" w:rsidRDefault="006B197C" w:rsidP="00F101FB">
      <w:pPr>
        <w:spacing w:after="0" w:line="240" w:lineRule="auto"/>
        <w:jc w:val="both"/>
        <w:rPr>
          <w:rFonts w:ascii="Times New Roman" w:hAnsi="Times New Roman"/>
          <w:sz w:val="24"/>
          <w:szCs w:val="24"/>
        </w:rPr>
      </w:pPr>
      <w:r w:rsidRPr="00F101FB">
        <w:rPr>
          <w:rFonts w:ascii="Times New Roman" w:hAnsi="Times New Roman"/>
          <w:sz w:val="24"/>
          <w:szCs w:val="24"/>
        </w:rPr>
        <w:t>One of the current economic features is that, no longer the traditional factors of production, such as land, labor and capital, are the main factors ensuring competitiveness and adding value to the organization, but it is the knowledge therefore marking a new period for economics and bringing forward the main resource of making primary capital – Intellectual capital.</w:t>
      </w:r>
    </w:p>
    <w:p w:rsidR="004C5184" w:rsidRPr="00F101FB" w:rsidRDefault="006B197C" w:rsidP="00F101FB">
      <w:pPr>
        <w:spacing w:after="0" w:line="240" w:lineRule="auto"/>
        <w:jc w:val="both"/>
        <w:rPr>
          <w:rFonts w:ascii="Times New Roman" w:hAnsi="Times New Roman"/>
          <w:sz w:val="24"/>
          <w:szCs w:val="24"/>
        </w:rPr>
      </w:pPr>
      <w:r w:rsidRPr="00F101FB">
        <w:rPr>
          <w:rFonts w:ascii="Times New Roman" w:hAnsi="Times New Roman"/>
          <w:sz w:val="24"/>
          <w:szCs w:val="24"/>
        </w:rPr>
        <w:t>The aim of this paper research is to show the level of Commercial bank employee’s competence and to define how Intellectual capital can influence Commercial banks financial indicator.</w:t>
      </w:r>
    </w:p>
    <w:p w:rsidR="004C5184" w:rsidRPr="00F101FB" w:rsidRDefault="006B197C" w:rsidP="00F101FB">
      <w:pPr>
        <w:spacing w:after="0" w:line="240" w:lineRule="auto"/>
        <w:jc w:val="both"/>
        <w:rPr>
          <w:rFonts w:ascii="Times New Roman" w:hAnsi="Times New Roman"/>
          <w:sz w:val="24"/>
          <w:szCs w:val="24"/>
        </w:rPr>
      </w:pPr>
      <w:r w:rsidRPr="00F101FB">
        <w:rPr>
          <w:rFonts w:ascii="Times New Roman" w:hAnsi="Times New Roman"/>
          <w:sz w:val="24"/>
          <w:szCs w:val="24"/>
        </w:rPr>
        <w:t>In this research fallowing methods are used: content analysis, statistical data processing and e.t.c.</w:t>
      </w:r>
    </w:p>
    <w:p w:rsidR="004C5184" w:rsidRPr="00F101FB" w:rsidRDefault="00433957" w:rsidP="00433957">
      <w:pPr>
        <w:spacing w:after="0" w:line="240" w:lineRule="auto"/>
        <w:jc w:val="both"/>
        <w:rPr>
          <w:rFonts w:ascii="Times New Roman" w:hAnsi="Times New Roman"/>
          <w:sz w:val="24"/>
          <w:szCs w:val="24"/>
        </w:rPr>
      </w:pPr>
      <w:r>
        <w:rPr>
          <w:rFonts w:ascii="Times New Roman" w:hAnsi="Times New Roman"/>
          <w:bCs/>
          <w:sz w:val="24"/>
          <w:szCs w:val="24"/>
        </w:rPr>
        <w:t>M</w:t>
      </w:r>
      <w:r w:rsidR="006B197C" w:rsidRPr="00433957">
        <w:rPr>
          <w:rFonts w:ascii="Times New Roman" w:hAnsi="Times New Roman"/>
          <w:bCs/>
          <w:sz w:val="24"/>
          <w:szCs w:val="24"/>
        </w:rPr>
        <w:t>ethodology</w:t>
      </w:r>
      <w:r w:rsidR="006B197C" w:rsidRPr="00F101FB">
        <w:rPr>
          <w:rFonts w:ascii="Times New Roman" w:hAnsi="Times New Roman"/>
          <w:sz w:val="24"/>
          <w:szCs w:val="24"/>
        </w:rPr>
        <w:t xml:space="preserve"> – mooted hypotheses from the research about Intellectual capital influence on the financial indicator will be verified with a structured questionnaire and with annual reports from commercial banks.</w:t>
      </w:r>
    </w:p>
    <w:p w:rsidR="006B197C" w:rsidRDefault="006B197C" w:rsidP="00F101FB">
      <w:pPr>
        <w:spacing w:after="0" w:line="240" w:lineRule="auto"/>
        <w:jc w:val="both"/>
        <w:rPr>
          <w:rFonts w:ascii="Times New Roman" w:hAnsi="Times New Roman"/>
          <w:sz w:val="24"/>
          <w:szCs w:val="24"/>
        </w:rPr>
      </w:pPr>
      <w:r w:rsidRPr="006613E3">
        <w:rPr>
          <w:rFonts w:ascii="Times New Roman" w:hAnsi="Times New Roman"/>
          <w:bCs/>
          <w:sz w:val="24"/>
          <w:szCs w:val="24"/>
        </w:rPr>
        <w:lastRenderedPageBreak/>
        <w:t>Findings</w:t>
      </w:r>
      <w:r w:rsidRPr="00F101FB">
        <w:rPr>
          <w:rFonts w:ascii="Times New Roman" w:hAnsi="Times New Roman"/>
          <w:sz w:val="24"/>
          <w:szCs w:val="24"/>
        </w:rPr>
        <w:t xml:space="preserve"> – the obtained results confirm, that each Commercial bank has different Intellectual capital indicators and that they can influence financial indicators.</w:t>
      </w:r>
    </w:p>
    <w:p w:rsidR="007D55AB" w:rsidRPr="000142BF" w:rsidRDefault="007D55AB" w:rsidP="00F101FB">
      <w:pPr>
        <w:spacing w:after="0" w:line="240" w:lineRule="auto"/>
        <w:jc w:val="both"/>
        <w:rPr>
          <w:rFonts w:ascii="Times New Roman" w:hAnsi="Times New Roman"/>
          <w:sz w:val="24"/>
          <w:szCs w:val="24"/>
          <w:lang w:val="en-US"/>
        </w:rPr>
      </w:pPr>
    </w:p>
    <w:p w:rsidR="000F32AC" w:rsidRPr="000F32AC" w:rsidRDefault="000F32AC" w:rsidP="00F101FB">
      <w:pPr>
        <w:spacing w:after="0" w:line="240" w:lineRule="auto"/>
        <w:jc w:val="both"/>
        <w:rPr>
          <w:rFonts w:ascii="Times New Roman" w:hAnsi="Times New Roman"/>
          <w:b/>
          <w:bCs/>
          <w:sz w:val="24"/>
          <w:szCs w:val="24"/>
          <w:lang w:val="ru-RU"/>
        </w:rPr>
      </w:pPr>
      <w:r w:rsidRPr="000F32AC">
        <w:rPr>
          <w:rFonts w:ascii="Times New Roman" w:hAnsi="Times New Roman"/>
          <w:b/>
          <w:bCs/>
          <w:sz w:val="24"/>
          <w:szCs w:val="24"/>
          <w:lang w:val="ru-RU"/>
        </w:rPr>
        <w:t>Эриня Я., Лаце Н. Потребность в управлении знаниями в коммерческих банках</w:t>
      </w:r>
    </w:p>
    <w:p w:rsidR="004E78E5" w:rsidRPr="006E6829" w:rsidRDefault="004E78E5" w:rsidP="006E6829">
      <w:pPr>
        <w:spacing w:after="0" w:line="240" w:lineRule="auto"/>
        <w:jc w:val="both"/>
        <w:rPr>
          <w:rFonts w:ascii="Times New Roman" w:hAnsi="Times New Roman"/>
          <w:sz w:val="24"/>
          <w:szCs w:val="24"/>
        </w:rPr>
      </w:pPr>
      <w:r w:rsidRPr="006E6829">
        <w:rPr>
          <w:rFonts w:ascii="Times New Roman" w:hAnsi="Times New Roman"/>
          <w:sz w:val="24"/>
          <w:szCs w:val="24"/>
        </w:rPr>
        <w:t>Одна из текущих экономических особенностей является то, что больше не традиционные факторы производства а знания являются основными факторами обеспечения конкурентоспособности и повышения ценности организации, выделяя начало нового экономического периода, как один из главных ресурсов образования капитала - Интеллектуальный капитал.</w:t>
      </w:r>
    </w:p>
    <w:p w:rsidR="004E78E5" w:rsidRPr="006E6829" w:rsidRDefault="004E78E5" w:rsidP="006E6829">
      <w:pPr>
        <w:spacing w:after="0" w:line="240" w:lineRule="auto"/>
        <w:jc w:val="both"/>
        <w:rPr>
          <w:rFonts w:ascii="Times New Roman" w:hAnsi="Times New Roman"/>
          <w:sz w:val="24"/>
          <w:szCs w:val="24"/>
        </w:rPr>
      </w:pPr>
      <w:r w:rsidRPr="006E6829">
        <w:rPr>
          <w:rFonts w:ascii="Times New Roman" w:hAnsi="Times New Roman"/>
          <w:sz w:val="24"/>
          <w:szCs w:val="24"/>
        </w:rPr>
        <w:t>Целью данной статьи является исследование уровня компетентности сотрудника коммерческого банка и определение, как Интеллектуальный капитал может влиять на финансовый показатель коммерческого банка.</w:t>
      </w:r>
    </w:p>
    <w:p w:rsidR="004E78E5" w:rsidRPr="006E6829" w:rsidRDefault="004E78E5" w:rsidP="006E6829">
      <w:pPr>
        <w:spacing w:after="0" w:line="240" w:lineRule="auto"/>
        <w:jc w:val="both"/>
        <w:rPr>
          <w:rFonts w:ascii="Times New Roman" w:hAnsi="Times New Roman"/>
          <w:sz w:val="24"/>
          <w:szCs w:val="24"/>
        </w:rPr>
      </w:pPr>
      <w:r w:rsidRPr="006E6829">
        <w:rPr>
          <w:rFonts w:ascii="Times New Roman" w:hAnsi="Times New Roman"/>
          <w:sz w:val="24"/>
          <w:szCs w:val="24"/>
        </w:rPr>
        <w:t>В данном исследовании использовались следующее методы: контент-анализ, статистическая обработка данных и т.д.</w:t>
      </w:r>
    </w:p>
    <w:p w:rsidR="004E78E5" w:rsidRPr="006E6829" w:rsidRDefault="004E78E5" w:rsidP="006E6829">
      <w:pPr>
        <w:spacing w:after="0" w:line="240" w:lineRule="auto"/>
        <w:jc w:val="both"/>
        <w:rPr>
          <w:rFonts w:ascii="Times New Roman" w:hAnsi="Times New Roman"/>
          <w:sz w:val="24"/>
          <w:szCs w:val="24"/>
        </w:rPr>
      </w:pPr>
      <w:r w:rsidRPr="006E6829">
        <w:rPr>
          <w:rFonts w:ascii="Times New Roman" w:hAnsi="Times New Roman"/>
          <w:sz w:val="24"/>
          <w:szCs w:val="24"/>
        </w:rPr>
        <w:t>Методология – в данном исследовании выдвинутые гипотезы о влиянии Интеллектуального капитала на финансовый показатель проверялись, используя  анкетирование и годовые отчеты коммерческих банков.</w:t>
      </w:r>
    </w:p>
    <w:p w:rsidR="004E78E5" w:rsidRPr="006E6829" w:rsidRDefault="004E78E5" w:rsidP="006E6829">
      <w:pPr>
        <w:spacing w:after="0" w:line="240" w:lineRule="auto"/>
        <w:jc w:val="both"/>
        <w:rPr>
          <w:rFonts w:ascii="Times New Roman" w:hAnsi="Times New Roman"/>
          <w:sz w:val="24"/>
          <w:szCs w:val="24"/>
        </w:rPr>
      </w:pPr>
      <w:r w:rsidRPr="006E6829">
        <w:rPr>
          <w:rFonts w:ascii="Times New Roman" w:hAnsi="Times New Roman"/>
          <w:sz w:val="24"/>
          <w:szCs w:val="24"/>
        </w:rPr>
        <w:t>Полученные результаты подтверждают, что каждый коммерческий банк имеет различные показатели Интеллектуального капитала и что они могут влиять на финансовые показатели.</w:t>
      </w:r>
    </w:p>
    <w:p w:rsidR="002345BB" w:rsidRPr="004E78E5" w:rsidRDefault="002345BB" w:rsidP="00F101FB">
      <w:pPr>
        <w:pStyle w:val="BodyText"/>
        <w:autoSpaceDE w:val="0"/>
        <w:autoSpaceDN w:val="0"/>
        <w:adjustRightInd w:val="0"/>
      </w:pPr>
    </w:p>
    <w:p w:rsidR="00A23BC4" w:rsidRPr="00F101FB" w:rsidRDefault="00A23BC4" w:rsidP="00F101FB">
      <w:pPr>
        <w:spacing w:after="0" w:line="240" w:lineRule="auto"/>
        <w:jc w:val="both"/>
        <w:rPr>
          <w:rFonts w:ascii="Times New Roman" w:hAnsi="Times New Roman"/>
          <w:sz w:val="24"/>
          <w:szCs w:val="24"/>
          <w:lang w:val="ru-RU"/>
        </w:rPr>
      </w:pPr>
    </w:p>
    <w:sectPr w:rsidR="00A23BC4" w:rsidRPr="00F101FB" w:rsidSect="00F101FB">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6A53" w:rsidRDefault="00616A53">
      <w:pPr>
        <w:spacing w:after="0" w:line="240" w:lineRule="auto"/>
      </w:pPr>
      <w:r>
        <w:separator/>
      </w:r>
    </w:p>
  </w:endnote>
  <w:endnote w:type="continuationSeparator" w:id="1">
    <w:p w:rsidR="00616A53" w:rsidRDefault="00616A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10002FF" w:usb1="4000ACFF" w:usb2="00000009" w:usb3="00000000" w:csb0="000001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6A53" w:rsidRDefault="00616A53">
      <w:pPr>
        <w:spacing w:after="0" w:line="240" w:lineRule="auto"/>
      </w:pPr>
      <w:r>
        <w:separator/>
      </w:r>
    </w:p>
  </w:footnote>
  <w:footnote w:type="continuationSeparator" w:id="1">
    <w:p w:rsidR="00616A53" w:rsidRDefault="00616A5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0B4"/>
    <w:multiLevelType w:val="hybridMultilevel"/>
    <w:tmpl w:val="8F5EA5E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nsid w:val="0C746679"/>
    <w:multiLevelType w:val="hybridMultilevel"/>
    <w:tmpl w:val="D660BC4A"/>
    <w:lvl w:ilvl="0" w:tplc="A49C976E">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0D1A4CE8"/>
    <w:multiLevelType w:val="hybridMultilevel"/>
    <w:tmpl w:val="F4341C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nsid w:val="199B1246"/>
    <w:multiLevelType w:val="multilevel"/>
    <w:tmpl w:val="608AFF7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1B7F1E64"/>
    <w:multiLevelType w:val="hybridMultilevel"/>
    <w:tmpl w:val="F55A48AE"/>
    <w:lvl w:ilvl="0" w:tplc="C21ADBB2">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nsid w:val="20A52215"/>
    <w:multiLevelType w:val="hybridMultilevel"/>
    <w:tmpl w:val="4F723710"/>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
    <w:nsid w:val="2C5C13C6"/>
    <w:multiLevelType w:val="multilevel"/>
    <w:tmpl w:val="6F02F76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2C683DF5"/>
    <w:multiLevelType w:val="hybridMultilevel"/>
    <w:tmpl w:val="999EBE5C"/>
    <w:lvl w:ilvl="0" w:tplc="2708C09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8">
    <w:nsid w:val="2D8C1714"/>
    <w:multiLevelType w:val="multilevel"/>
    <w:tmpl w:val="3A8EE84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2F1D1580"/>
    <w:multiLevelType w:val="multilevel"/>
    <w:tmpl w:val="345AC4E4"/>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0">
    <w:nsid w:val="35136AD1"/>
    <w:multiLevelType w:val="hybridMultilevel"/>
    <w:tmpl w:val="57281D4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nsid w:val="365356E2"/>
    <w:multiLevelType w:val="hybridMultilevel"/>
    <w:tmpl w:val="BE0413B0"/>
    <w:lvl w:ilvl="0" w:tplc="12B06DD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nsid w:val="3B375BEE"/>
    <w:multiLevelType w:val="hybridMultilevel"/>
    <w:tmpl w:val="1A5E088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3">
    <w:nsid w:val="3F042BB4"/>
    <w:multiLevelType w:val="multilevel"/>
    <w:tmpl w:val="7BE6A4A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14">
    <w:nsid w:val="433F0BD3"/>
    <w:multiLevelType w:val="hybridMultilevel"/>
    <w:tmpl w:val="CCAEA3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nsid w:val="45A74BCA"/>
    <w:multiLevelType w:val="hybridMultilevel"/>
    <w:tmpl w:val="ABC2A7C6"/>
    <w:lvl w:ilvl="0" w:tplc="75E424A2">
      <w:start w:val="1"/>
      <w:numFmt w:val="decimal"/>
      <w:lvlText w:val="%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6">
    <w:nsid w:val="46B42EE3"/>
    <w:multiLevelType w:val="hybridMultilevel"/>
    <w:tmpl w:val="6F6866AA"/>
    <w:lvl w:ilvl="0" w:tplc="83086E00">
      <w:start w:val="1"/>
      <w:numFmt w:val="decimal"/>
      <w:lvlText w:val="%1."/>
      <w:lvlJc w:val="left"/>
      <w:pPr>
        <w:ind w:left="1069"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nsid w:val="4A9033E9"/>
    <w:multiLevelType w:val="multilevel"/>
    <w:tmpl w:val="B2AAB0C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nsid w:val="57E54295"/>
    <w:multiLevelType w:val="hybridMultilevel"/>
    <w:tmpl w:val="051A2632"/>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nsid w:val="594D3035"/>
    <w:multiLevelType w:val="hybridMultilevel"/>
    <w:tmpl w:val="15E45254"/>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nsid w:val="6463672A"/>
    <w:multiLevelType w:val="hybridMultilevel"/>
    <w:tmpl w:val="FD94A56A"/>
    <w:lvl w:ilvl="0" w:tplc="D3E23C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nsid w:val="648218F9"/>
    <w:multiLevelType w:val="multilevel"/>
    <w:tmpl w:val="608AFF7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nsid w:val="65565FD7"/>
    <w:multiLevelType w:val="hybridMultilevel"/>
    <w:tmpl w:val="01E612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nsid w:val="68B40F11"/>
    <w:multiLevelType w:val="hybridMultilevel"/>
    <w:tmpl w:val="747AD426"/>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4">
    <w:nsid w:val="6C7D34F7"/>
    <w:multiLevelType w:val="hybridMultilevel"/>
    <w:tmpl w:val="5F8E69F2"/>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
    <w:nsid w:val="73666973"/>
    <w:multiLevelType w:val="multilevel"/>
    <w:tmpl w:val="01F2040E"/>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nsid w:val="79102447"/>
    <w:multiLevelType w:val="hybridMultilevel"/>
    <w:tmpl w:val="DCC6223C"/>
    <w:lvl w:ilvl="0" w:tplc="0426000F">
      <w:start w:val="1"/>
      <w:numFmt w:val="decimal"/>
      <w:lvlText w:val="%1."/>
      <w:lvlJc w:val="left"/>
      <w:pPr>
        <w:tabs>
          <w:tab w:val="num" w:pos="720"/>
        </w:tabs>
        <w:ind w:left="72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11"/>
  </w:num>
  <w:num w:numId="2">
    <w:abstractNumId w:val="9"/>
  </w:num>
  <w:num w:numId="3">
    <w:abstractNumId w:val="8"/>
  </w:num>
  <w:num w:numId="4">
    <w:abstractNumId w:val="3"/>
  </w:num>
  <w:num w:numId="5">
    <w:abstractNumId w:val="17"/>
  </w:num>
  <w:num w:numId="6">
    <w:abstractNumId w:val="6"/>
  </w:num>
  <w:num w:numId="7">
    <w:abstractNumId w:val="0"/>
  </w:num>
  <w:num w:numId="8">
    <w:abstractNumId w:val="25"/>
  </w:num>
  <w:num w:numId="9">
    <w:abstractNumId w:val="21"/>
  </w:num>
  <w:num w:numId="10">
    <w:abstractNumId w:val="15"/>
  </w:num>
  <w:num w:numId="11">
    <w:abstractNumId w:val="20"/>
  </w:num>
  <w:num w:numId="12">
    <w:abstractNumId w:val="14"/>
  </w:num>
  <w:num w:numId="13">
    <w:abstractNumId w:val="7"/>
  </w:num>
  <w:num w:numId="14">
    <w:abstractNumId w:val="4"/>
  </w:num>
  <w:num w:numId="15">
    <w:abstractNumId w:val="13"/>
  </w:num>
  <w:num w:numId="16">
    <w:abstractNumId w:val="22"/>
  </w:num>
  <w:num w:numId="17">
    <w:abstractNumId w:val="16"/>
  </w:num>
  <w:num w:numId="18">
    <w:abstractNumId w:val="1"/>
  </w:num>
  <w:num w:numId="19">
    <w:abstractNumId w:val="2"/>
  </w:num>
  <w:num w:numId="20">
    <w:abstractNumId w:val="18"/>
  </w:num>
  <w:num w:numId="21">
    <w:abstractNumId w:val="23"/>
  </w:num>
  <w:num w:numId="22">
    <w:abstractNumId w:val="12"/>
  </w:num>
  <w:num w:numId="23">
    <w:abstractNumId w:val="5"/>
  </w:num>
  <w:num w:numId="24">
    <w:abstractNumId w:val="26"/>
  </w:num>
  <w:num w:numId="25">
    <w:abstractNumId w:val="19"/>
  </w:num>
  <w:num w:numId="26">
    <w:abstractNumId w:val="24"/>
  </w:num>
  <w:num w:numId="2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3217F1"/>
    <w:rsid w:val="000142BF"/>
    <w:rsid w:val="00032FE6"/>
    <w:rsid w:val="000817EB"/>
    <w:rsid w:val="000F32AC"/>
    <w:rsid w:val="001705B7"/>
    <w:rsid w:val="00180073"/>
    <w:rsid w:val="00195583"/>
    <w:rsid w:val="001B6516"/>
    <w:rsid w:val="0020239D"/>
    <w:rsid w:val="002345BB"/>
    <w:rsid w:val="00273768"/>
    <w:rsid w:val="002C2540"/>
    <w:rsid w:val="002C6E65"/>
    <w:rsid w:val="002E0669"/>
    <w:rsid w:val="003217F1"/>
    <w:rsid w:val="00364131"/>
    <w:rsid w:val="003743B6"/>
    <w:rsid w:val="003D4ACC"/>
    <w:rsid w:val="003E5F06"/>
    <w:rsid w:val="00402165"/>
    <w:rsid w:val="0042044A"/>
    <w:rsid w:val="00433957"/>
    <w:rsid w:val="00457A4D"/>
    <w:rsid w:val="00494719"/>
    <w:rsid w:val="004C5184"/>
    <w:rsid w:val="004E78E5"/>
    <w:rsid w:val="00505712"/>
    <w:rsid w:val="00527F25"/>
    <w:rsid w:val="0054607A"/>
    <w:rsid w:val="005662AB"/>
    <w:rsid w:val="005A0C37"/>
    <w:rsid w:val="005B2D99"/>
    <w:rsid w:val="00616A53"/>
    <w:rsid w:val="00644156"/>
    <w:rsid w:val="006613E3"/>
    <w:rsid w:val="0066679B"/>
    <w:rsid w:val="006B197C"/>
    <w:rsid w:val="006E6829"/>
    <w:rsid w:val="006F6C66"/>
    <w:rsid w:val="006F7ADF"/>
    <w:rsid w:val="00782864"/>
    <w:rsid w:val="0079645D"/>
    <w:rsid w:val="007D55AB"/>
    <w:rsid w:val="007F325F"/>
    <w:rsid w:val="00834663"/>
    <w:rsid w:val="0087426C"/>
    <w:rsid w:val="00891BF4"/>
    <w:rsid w:val="008C216A"/>
    <w:rsid w:val="009E302D"/>
    <w:rsid w:val="00A14595"/>
    <w:rsid w:val="00A23BC4"/>
    <w:rsid w:val="00A3639C"/>
    <w:rsid w:val="00A61854"/>
    <w:rsid w:val="00AB3618"/>
    <w:rsid w:val="00B72A2E"/>
    <w:rsid w:val="00BF23A7"/>
    <w:rsid w:val="00C24204"/>
    <w:rsid w:val="00C3014D"/>
    <w:rsid w:val="00C71E93"/>
    <w:rsid w:val="00CA1B7A"/>
    <w:rsid w:val="00D32E3E"/>
    <w:rsid w:val="00DA10E5"/>
    <w:rsid w:val="00DC58E0"/>
    <w:rsid w:val="00E007F4"/>
    <w:rsid w:val="00E1235C"/>
    <w:rsid w:val="00E65D56"/>
    <w:rsid w:val="00E82641"/>
    <w:rsid w:val="00E86B58"/>
    <w:rsid w:val="00EC293D"/>
    <w:rsid w:val="00F101FB"/>
    <w:rsid w:val="00F16B0E"/>
    <w:rsid w:val="00F46840"/>
    <w:rsid w:val="00F50279"/>
    <w:rsid w:val="00F52C72"/>
    <w:rsid w:val="00F94B7D"/>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schemas-tilde-lv/tildestengine" w:name="currency2"/>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FE6"/>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semiHidden/>
    <w:rsid w:val="00032FE6"/>
    <w:rPr>
      <w:color w:val="800080"/>
      <w:u w:val="single"/>
    </w:rPr>
  </w:style>
  <w:style w:type="character" w:styleId="Hyperlink">
    <w:name w:val="Hyperlink"/>
    <w:basedOn w:val="DefaultParagraphFont"/>
    <w:unhideWhenUsed/>
    <w:rsid w:val="00032FE6"/>
    <w:rPr>
      <w:color w:val="0000FF"/>
      <w:u w:val="single"/>
    </w:rPr>
  </w:style>
  <w:style w:type="paragraph" w:styleId="ListParagraph">
    <w:name w:val="List Paragraph"/>
    <w:basedOn w:val="Normal"/>
    <w:qFormat/>
    <w:rsid w:val="00032FE6"/>
    <w:pPr>
      <w:ind w:left="720"/>
      <w:contextualSpacing/>
    </w:pPr>
  </w:style>
  <w:style w:type="paragraph" w:styleId="Header">
    <w:name w:val="header"/>
    <w:basedOn w:val="Normal"/>
    <w:semiHidden/>
    <w:unhideWhenUsed/>
    <w:rsid w:val="00032FE6"/>
    <w:pPr>
      <w:tabs>
        <w:tab w:val="center" w:pos="4153"/>
        <w:tab w:val="right" w:pos="8306"/>
      </w:tabs>
    </w:pPr>
  </w:style>
  <w:style w:type="character" w:customStyle="1" w:styleId="HeaderChar">
    <w:name w:val="Header Char"/>
    <w:basedOn w:val="DefaultParagraphFont"/>
    <w:semiHidden/>
    <w:rsid w:val="00032FE6"/>
    <w:rPr>
      <w:sz w:val="22"/>
      <w:szCs w:val="22"/>
      <w:lang w:eastAsia="en-US"/>
    </w:rPr>
  </w:style>
  <w:style w:type="paragraph" w:styleId="Footer">
    <w:name w:val="footer"/>
    <w:basedOn w:val="Normal"/>
    <w:semiHidden/>
    <w:unhideWhenUsed/>
    <w:rsid w:val="00032FE6"/>
    <w:pPr>
      <w:tabs>
        <w:tab w:val="center" w:pos="4153"/>
        <w:tab w:val="right" w:pos="8306"/>
      </w:tabs>
    </w:pPr>
  </w:style>
  <w:style w:type="character" w:customStyle="1" w:styleId="FooterChar">
    <w:name w:val="Footer Char"/>
    <w:basedOn w:val="DefaultParagraphFont"/>
    <w:semiHidden/>
    <w:rsid w:val="00032FE6"/>
    <w:rPr>
      <w:sz w:val="22"/>
      <w:szCs w:val="22"/>
      <w:lang w:eastAsia="en-US"/>
    </w:rPr>
  </w:style>
  <w:style w:type="paragraph" w:styleId="BalloonText">
    <w:name w:val="Balloon Text"/>
    <w:basedOn w:val="Normal"/>
    <w:semiHidden/>
    <w:unhideWhenUsed/>
    <w:rsid w:val="00032FE6"/>
    <w:pPr>
      <w:spacing w:after="0" w:line="240" w:lineRule="auto"/>
    </w:pPr>
    <w:rPr>
      <w:rFonts w:ascii="Tahoma" w:hAnsi="Tahoma" w:cs="Tahoma"/>
      <w:sz w:val="16"/>
      <w:szCs w:val="16"/>
    </w:rPr>
  </w:style>
  <w:style w:type="character" w:customStyle="1" w:styleId="BalloonTextChar">
    <w:name w:val="Balloon Text Char"/>
    <w:basedOn w:val="DefaultParagraphFont"/>
    <w:semiHidden/>
    <w:rsid w:val="00032FE6"/>
    <w:rPr>
      <w:rFonts w:ascii="Tahoma" w:hAnsi="Tahoma" w:cs="Tahoma"/>
      <w:sz w:val="16"/>
      <w:szCs w:val="16"/>
      <w:lang w:eastAsia="en-US"/>
    </w:rPr>
  </w:style>
  <w:style w:type="paragraph" w:styleId="BodyText">
    <w:name w:val="Body Text"/>
    <w:basedOn w:val="Normal"/>
    <w:semiHidden/>
    <w:rsid w:val="00032FE6"/>
    <w:pPr>
      <w:spacing w:after="0" w:line="240" w:lineRule="auto"/>
      <w:jc w:val="both"/>
    </w:pPr>
    <w:rPr>
      <w:rFonts w:ascii="Times New Roman" w:eastAsia="Times New Roman" w:hAnsi="Times New Roman"/>
      <w:sz w:val="24"/>
      <w:szCs w:val="24"/>
    </w:rPr>
  </w:style>
  <w:style w:type="character" w:customStyle="1" w:styleId="BodyTextChar">
    <w:name w:val="Body Text Char"/>
    <w:basedOn w:val="DefaultParagraphFont"/>
    <w:rsid w:val="00032FE6"/>
    <w:rPr>
      <w:rFonts w:ascii="Times New Roman" w:eastAsia="Times New Roman" w:hAnsi="Times New Roman"/>
      <w:sz w:val="24"/>
      <w:szCs w:val="24"/>
      <w:lang w:eastAsia="en-US"/>
    </w:rPr>
  </w:style>
  <w:style w:type="paragraph" w:customStyle="1" w:styleId="bodytext0">
    <w:name w:val="bodytext"/>
    <w:basedOn w:val="Normal"/>
    <w:rsid w:val="00032FE6"/>
    <w:pPr>
      <w:spacing w:before="100" w:beforeAutospacing="1" w:after="100" w:afterAutospacing="1" w:line="240" w:lineRule="auto"/>
    </w:pPr>
    <w:rPr>
      <w:rFonts w:ascii="Times New Roman" w:eastAsia="Times New Roman" w:hAnsi="Times New Roman"/>
      <w:sz w:val="24"/>
      <w:szCs w:val="24"/>
      <w:lang w:eastAsia="lv-LV"/>
    </w:rPr>
  </w:style>
  <w:style w:type="character" w:styleId="Strong">
    <w:name w:val="Strong"/>
    <w:basedOn w:val="DefaultParagraphFont"/>
    <w:qFormat/>
    <w:rsid w:val="00032FE6"/>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www.pwc.com/lv/lv/news/istermina-taktika-banku-sektors.j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www.bank.lv/lat/main/all/sapinfo/presrunas/lta/" TargetMode="External"/><Relationship Id="rId2" Type="http://schemas.openxmlformats.org/officeDocument/2006/relationships/styles" Target="styles.xml"/><Relationship Id="rId16" Type="http://schemas.openxmlformats.org/officeDocument/2006/relationships/hyperlink" Target="http://fktk.lv/lv/statistika/kreditiestades/ceturksna_parskati/2010-08-09_banku_darbiba_latvija_2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hyperlink" Target="mailto:Natalja.Lace@rtu.lv"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Ingars\Desktop\Jana\publikacijas\RTU%202010%20gada%2015%20oktobris\intervijas%20un%20anaketesanas%20rezultat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Ingars\Desktop\Jana\publikacijas\RTU%202010%20gada%2015%20oktobris\intervijas%20un%20anaketesanas%20rezultati.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Ingars\Desktop\Jana\publikacijas\RTU%202010%20gada%2015%20oktobris\intervijas%20un%20anaketesanas%20rezultati.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Ingars\Desktop\Jana\publikacijas\RTU%202010%20gada%2015%20oktobris\intervijas%20un%20anaketesanas%20rezultat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Ingars\Desktop\Jana\publikacijas\RTU%202010%20gada%2015%20oktobris\Copy%20of%20Xl0000003.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Ingars\Desktop\Jana\publikacijas\RTU%202010%20gada%2015%20oktobris\Copy%20of%20Xl0000003.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Ingars\Desktop\Jana\publikacijas\RTU%202010%20gada%2015%20oktobris\Copy%20of%20Xl0000003.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Ingars\Desktop\Jana\publikacijas\Lietuva%202010%20gada%2014%20oktobris\tabula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Ingars\Desktop\Jana\publikacijas\Lietuva%202010%20gada%2014%20oktobris\tabula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lv-LV"/>
  <c:style val="1"/>
  <c:chart>
    <c:plotArea>
      <c:layout/>
      <c:barChart>
        <c:barDir val="col"/>
        <c:grouping val="clustered"/>
        <c:ser>
          <c:idx val="0"/>
          <c:order val="0"/>
          <c:tx>
            <c:strRef>
              <c:f>Sheet5!$A$3</c:f>
              <c:strCache>
                <c:ptCount val="1"/>
                <c:pt idx="0">
                  <c:v>Ir sākts domāt par zināšanu vadīšanas nepieciešamību</c:v>
                </c:pt>
              </c:strCache>
            </c:strRef>
          </c:tx>
          <c:cat>
            <c:strRef>
              <c:f>Sheet5!$B$2:$D$2</c:f>
              <c:strCache>
                <c:ptCount val="3"/>
                <c:pt idx="0">
                  <c:v>1.jautājums. Zināšanu vadīšanas pārvaldība</c:v>
                </c:pt>
                <c:pt idx="1">
                  <c:v>2.jautājums. Zināšanu vadīšana bankas dokumentos </c:v>
                </c:pt>
                <c:pt idx="2">
                  <c:v>3.jautājums. Zināšanu menedžeris</c:v>
                </c:pt>
              </c:strCache>
            </c:strRef>
          </c:cat>
          <c:val>
            <c:numRef>
              <c:f>Sheet5!$B$3:$D$3</c:f>
              <c:numCache>
                <c:formatCode>General</c:formatCode>
                <c:ptCount val="3"/>
                <c:pt idx="0">
                  <c:v>1</c:v>
                </c:pt>
                <c:pt idx="1">
                  <c:v>0</c:v>
                </c:pt>
                <c:pt idx="2">
                  <c:v>0</c:v>
                </c:pt>
              </c:numCache>
            </c:numRef>
          </c:val>
        </c:ser>
        <c:ser>
          <c:idx val="1"/>
          <c:order val="1"/>
          <c:tx>
            <c:strRef>
              <c:f>Sheet5!$A$4</c:f>
              <c:strCache>
                <c:ptCount val="1"/>
                <c:pt idx="0">
                  <c:v>Nē</c:v>
                </c:pt>
              </c:strCache>
            </c:strRef>
          </c:tx>
          <c:cat>
            <c:strRef>
              <c:f>Sheet5!$B$2:$D$2</c:f>
              <c:strCache>
                <c:ptCount val="3"/>
                <c:pt idx="0">
                  <c:v>1.jautājums. Zināšanu vadīšanas pārvaldība</c:v>
                </c:pt>
                <c:pt idx="1">
                  <c:v>2.jautājums. Zināšanu vadīšana bankas dokumentos </c:v>
                </c:pt>
                <c:pt idx="2">
                  <c:v>3.jautājums. Zināšanu menedžeris</c:v>
                </c:pt>
              </c:strCache>
            </c:strRef>
          </c:cat>
          <c:val>
            <c:numRef>
              <c:f>Sheet5!$B$4:$D$4</c:f>
              <c:numCache>
                <c:formatCode>General</c:formatCode>
                <c:ptCount val="3"/>
                <c:pt idx="0">
                  <c:v>3</c:v>
                </c:pt>
                <c:pt idx="1">
                  <c:v>3</c:v>
                </c:pt>
                <c:pt idx="2">
                  <c:v>6</c:v>
                </c:pt>
              </c:numCache>
            </c:numRef>
          </c:val>
        </c:ser>
        <c:ser>
          <c:idx val="2"/>
          <c:order val="2"/>
          <c:tx>
            <c:strRef>
              <c:f>Sheet5!$A$5</c:f>
              <c:strCache>
                <c:ptCount val="1"/>
                <c:pt idx="0">
                  <c:v>Jā</c:v>
                </c:pt>
              </c:strCache>
            </c:strRef>
          </c:tx>
          <c:cat>
            <c:strRef>
              <c:f>Sheet5!$B$2:$D$2</c:f>
              <c:strCache>
                <c:ptCount val="3"/>
                <c:pt idx="0">
                  <c:v>1.jautājums. Zināšanu vadīšanas pārvaldība</c:v>
                </c:pt>
                <c:pt idx="1">
                  <c:v>2.jautājums. Zināšanu vadīšana bankas dokumentos </c:v>
                </c:pt>
                <c:pt idx="2">
                  <c:v>3.jautājums. Zināšanu menedžeris</c:v>
                </c:pt>
              </c:strCache>
            </c:strRef>
          </c:cat>
          <c:val>
            <c:numRef>
              <c:f>Sheet5!$B$5:$D$5</c:f>
              <c:numCache>
                <c:formatCode>General</c:formatCode>
                <c:ptCount val="3"/>
                <c:pt idx="0">
                  <c:v>1</c:v>
                </c:pt>
                <c:pt idx="1">
                  <c:v>1</c:v>
                </c:pt>
                <c:pt idx="2">
                  <c:v>0</c:v>
                </c:pt>
              </c:numCache>
            </c:numRef>
          </c:val>
        </c:ser>
        <c:ser>
          <c:idx val="3"/>
          <c:order val="3"/>
          <c:tx>
            <c:strRef>
              <c:f>Sheet5!$A$6</c:f>
              <c:strCache>
                <c:ptCount val="1"/>
                <c:pt idx="0">
                  <c:v>Nedaudz jā</c:v>
                </c:pt>
              </c:strCache>
            </c:strRef>
          </c:tx>
          <c:cat>
            <c:strRef>
              <c:f>Sheet5!$B$2:$D$2</c:f>
              <c:strCache>
                <c:ptCount val="3"/>
                <c:pt idx="0">
                  <c:v>1.jautājums. Zināšanu vadīšanas pārvaldība</c:v>
                </c:pt>
                <c:pt idx="1">
                  <c:v>2.jautājums. Zināšanu vadīšana bankas dokumentos </c:v>
                </c:pt>
                <c:pt idx="2">
                  <c:v>3.jautājums. Zināšanu menedžeris</c:v>
                </c:pt>
              </c:strCache>
            </c:strRef>
          </c:cat>
          <c:val>
            <c:numRef>
              <c:f>Sheet5!$B$6:$D$6</c:f>
              <c:numCache>
                <c:formatCode>General</c:formatCode>
                <c:ptCount val="3"/>
                <c:pt idx="0">
                  <c:v>1</c:v>
                </c:pt>
                <c:pt idx="1">
                  <c:v>0</c:v>
                </c:pt>
                <c:pt idx="2">
                  <c:v>0</c:v>
                </c:pt>
              </c:numCache>
            </c:numRef>
          </c:val>
        </c:ser>
        <c:ser>
          <c:idx val="4"/>
          <c:order val="4"/>
          <c:tx>
            <c:strRef>
              <c:f>Sheet5!$A$7</c:f>
              <c:strCache>
                <c:ptCount val="1"/>
                <c:pt idx="0">
                  <c:v>Varbūt jā</c:v>
                </c:pt>
              </c:strCache>
            </c:strRef>
          </c:tx>
          <c:cat>
            <c:strRef>
              <c:f>Sheet5!$B$2:$D$2</c:f>
              <c:strCache>
                <c:ptCount val="3"/>
                <c:pt idx="0">
                  <c:v>1.jautājums. Zināšanu vadīšanas pārvaldība</c:v>
                </c:pt>
                <c:pt idx="1">
                  <c:v>2.jautājums. Zināšanu vadīšana bankas dokumentos </c:v>
                </c:pt>
                <c:pt idx="2">
                  <c:v>3.jautājums. Zināšanu menedžeris</c:v>
                </c:pt>
              </c:strCache>
            </c:strRef>
          </c:cat>
          <c:val>
            <c:numRef>
              <c:f>Sheet5!$B$7:$D$7</c:f>
              <c:numCache>
                <c:formatCode>General</c:formatCode>
                <c:ptCount val="3"/>
                <c:pt idx="0">
                  <c:v>0</c:v>
                </c:pt>
                <c:pt idx="1">
                  <c:v>1</c:v>
                </c:pt>
                <c:pt idx="2">
                  <c:v>0</c:v>
                </c:pt>
              </c:numCache>
            </c:numRef>
          </c:val>
        </c:ser>
        <c:ser>
          <c:idx val="5"/>
          <c:order val="5"/>
          <c:tx>
            <c:strRef>
              <c:f>Sheet5!$A$8</c:f>
              <c:strCache>
                <c:ptCount val="1"/>
                <c:pt idx="0">
                  <c:v>Iespējams</c:v>
                </c:pt>
              </c:strCache>
            </c:strRef>
          </c:tx>
          <c:cat>
            <c:strRef>
              <c:f>Sheet5!$B$2:$D$2</c:f>
              <c:strCache>
                <c:ptCount val="3"/>
                <c:pt idx="0">
                  <c:v>1.jautājums. Zināšanu vadīšanas pārvaldība</c:v>
                </c:pt>
                <c:pt idx="1">
                  <c:v>2.jautājums. Zināšanu vadīšana bankas dokumentos </c:v>
                </c:pt>
                <c:pt idx="2">
                  <c:v>3.jautājums. Zināšanu menedžeris</c:v>
                </c:pt>
              </c:strCache>
            </c:strRef>
          </c:cat>
          <c:val>
            <c:numRef>
              <c:f>Sheet5!$B$8:$D$8</c:f>
              <c:numCache>
                <c:formatCode>General</c:formatCode>
                <c:ptCount val="3"/>
                <c:pt idx="0">
                  <c:v>0</c:v>
                </c:pt>
                <c:pt idx="1">
                  <c:v>1</c:v>
                </c:pt>
                <c:pt idx="2">
                  <c:v>0</c:v>
                </c:pt>
              </c:numCache>
            </c:numRef>
          </c:val>
        </c:ser>
        <c:gapWidth val="300"/>
        <c:axId val="153264512"/>
        <c:axId val="153266048"/>
      </c:barChart>
      <c:catAx>
        <c:axId val="153264512"/>
        <c:scaling>
          <c:orientation val="minMax"/>
        </c:scaling>
        <c:axPos val="b"/>
        <c:majorTickMark val="none"/>
        <c:tickLblPos val="nextTo"/>
        <c:crossAx val="153266048"/>
        <c:crosses val="autoZero"/>
        <c:auto val="1"/>
        <c:lblAlgn val="ctr"/>
        <c:lblOffset val="100"/>
      </c:catAx>
      <c:valAx>
        <c:axId val="153266048"/>
        <c:scaling>
          <c:orientation val="minMax"/>
        </c:scaling>
        <c:axPos val="l"/>
        <c:majorGridlines/>
        <c:minorGridlines/>
        <c:title>
          <c:tx>
            <c:rich>
              <a:bodyPr/>
              <a:lstStyle/>
              <a:p>
                <a:pPr>
                  <a:defRPr/>
                </a:pPr>
                <a:r>
                  <a:rPr lang="en-US"/>
                  <a:t>Atbilžu biežums</a:t>
                </a:r>
              </a:p>
            </c:rich>
          </c:tx>
        </c:title>
        <c:numFmt formatCode="General" sourceLinked="1"/>
        <c:tickLblPos val="nextTo"/>
        <c:crossAx val="153264512"/>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lv-LV"/>
  <c:style val="1"/>
  <c:chart>
    <c:plotArea>
      <c:layout/>
      <c:barChart>
        <c:barDir val="col"/>
        <c:grouping val="clustered"/>
        <c:ser>
          <c:idx val="0"/>
          <c:order val="0"/>
          <c:tx>
            <c:strRef>
              <c:f>Sheet5!$A$12</c:f>
              <c:strCache>
                <c:ptCount val="1"/>
                <c:pt idx="0">
                  <c:v>Ir sākts domāt par intelektuālā kapitāla nepieciešamību</c:v>
                </c:pt>
              </c:strCache>
            </c:strRef>
          </c:tx>
          <c:cat>
            <c:strRef>
              <c:f>Sheet5!$B$11:$D$11</c:f>
              <c:strCache>
                <c:ptCount val="3"/>
                <c:pt idx="0">
                  <c:v>1.jautājums. Intelektuālā kapitāla pārvaldība</c:v>
                </c:pt>
                <c:pt idx="1">
                  <c:v>2.jautājums. Intelektuālais kapitāls bankas dokumentos </c:v>
                </c:pt>
                <c:pt idx="2">
                  <c:v>3.jautājums. Intelektuālā kapitāla menedžeris</c:v>
                </c:pt>
              </c:strCache>
            </c:strRef>
          </c:cat>
          <c:val>
            <c:numRef>
              <c:f>Sheet5!$B$12:$D$12</c:f>
              <c:numCache>
                <c:formatCode>General</c:formatCode>
                <c:ptCount val="3"/>
                <c:pt idx="0">
                  <c:v>0</c:v>
                </c:pt>
                <c:pt idx="1">
                  <c:v>0</c:v>
                </c:pt>
                <c:pt idx="2">
                  <c:v>0</c:v>
                </c:pt>
              </c:numCache>
            </c:numRef>
          </c:val>
        </c:ser>
        <c:ser>
          <c:idx val="1"/>
          <c:order val="1"/>
          <c:tx>
            <c:strRef>
              <c:f>Sheet5!$A$13</c:f>
              <c:strCache>
                <c:ptCount val="1"/>
                <c:pt idx="0">
                  <c:v>Nē</c:v>
                </c:pt>
              </c:strCache>
            </c:strRef>
          </c:tx>
          <c:cat>
            <c:strRef>
              <c:f>Sheet5!$B$11:$D$11</c:f>
              <c:strCache>
                <c:ptCount val="3"/>
                <c:pt idx="0">
                  <c:v>1.jautājums. Intelektuālā kapitāla pārvaldība</c:v>
                </c:pt>
                <c:pt idx="1">
                  <c:v>2.jautājums. Intelektuālais kapitāls bankas dokumentos </c:v>
                </c:pt>
                <c:pt idx="2">
                  <c:v>3.jautājums. Intelektuālā kapitāla menedžeris</c:v>
                </c:pt>
              </c:strCache>
            </c:strRef>
          </c:cat>
          <c:val>
            <c:numRef>
              <c:f>Sheet5!$B$13:$D$13</c:f>
              <c:numCache>
                <c:formatCode>General</c:formatCode>
                <c:ptCount val="3"/>
                <c:pt idx="0">
                  <c:v>6</c:v>
                </c:pt>
                <c:pt idx="1">
                  <c:v>4</c:v>
                </c:pt>
                <c:pt idx="2">
                  <c:v>6</c:v>
                </c:pt>
              </c:numCache>
            </c:numRef>
          </c:val>
        </c:ser>
        <c:ser>
          <c:idx val="2"/>
          <c:order val="2"/>
          <c:tx>
            <c:strRef>
              <c:f>Sheet5!$A$14</c:f>
              <c:strCache>
                <c:ptCount val="1"/>
                <c:pt idx="0">
                  <c:v>Jā</c:v>
                </c:pt>
              </c:strCache>
            </c:strRef>
          </c:tx>
          <c:cat>
            <c:strRef>
              <c:f>Sheet5!$B$11:$D$11</c:f>
              <c:strCache>
                <c:ptCount val="3"/>
                <c:pt idx="0">
                  <c:v>1.jautājums. Intelektuālā kapitāla pārvaldība</c:v>
                </c:pt>
                <c:pt idx="1">
                  <c:v>2.jautājums. Intelektuālais kapitāls bankas dokumentos </c:v>
                </c:pt>
                <c:pt idx="2">
                  <c:v>3.jautājums. Intelektuālā kapitāla menedžeris</c:v>
                </c:pt>
              </c:strCache>
            </c:strRef>
          </c:cat>
          <c:val>
            <c:numRef>
              <c:f>Sheet5!$B$14:$D$14</c:f>
              <c:numCache>
                <c:formatCode>General</c:formatCode>
                <c:ptCount val="3"/>
                <c:pt idx="1">
                  <c:v>1</c:v>
                </c:pt>
              </c:numCache>
            </c:numRef>
          </c:val>
        </c:ser>
        <c:ser>
          <c:idx val="3"/>
          <c:order val="3"/>
          <c:tx>
            <c:strRef>
              <c:f>Sheet5!$A$15</c:f>
              <c:strCache>
                <c:ptCount val="1"/>
                <c:pt idx="0">
                  <c:v>Nedaudz jā</c:v>
                </c:pt>
              </c:strCache>
            </c:strRef>
          </c:tx>
          <c:cat>
            <c:strRef>
              <c:f>Sheet5!$B$11:$D$11</c:f>
              <c:strCache>
                <c:ptCount val="3"/>
                <c:pt idx="0">
                  <c:v>1.jautājums. Intelektuālā kapitāla pārvaldība</c:v>
                </c:pt>
                <c:pt idx="1">
                  <c:v>2.jautājums. Intelektuālais kapitāls bankas dokumentos </c:v>
                </c:pt>
                <c:pt idx="2">
                  <c:v>3.jautājums. Intelektuālā kapitāla menedžeris</c:v>
                </c:pt>
              </c:strCache>
            </c:strRef>
          </c:cat>
          <c:val>
            <c:numRef>
              <c:f>Sheet5!$B$15:$D$15</c:f>
              <c:numCache>
                <c:formatCode>General</c:formatCode>
                <c:ptCount val="3"/>
                <c:pt idx="0">
                  <c:v>0</c:v>
                </c:pt>
                <c:pt idx="1">
                  <c:v>0</c:v>
                </c:pt>
                <c:pt idx="2">
                  <c:v>0</c:v>
                </c:pt>
              </c:numCache>
            </c:numRef>
          </c:val>
        </c:ser>
        <c:ser>
          <c:idx val="4"/>
          <c:order val="4"/>
          <c:tx>
            <c:strRef>
              <c:f>Sheet5!$A$16</c:f>
              <c:strCache>
                <c:ptCount val="1"/>
                <c:pt idx="0">
                  <c:v>Varbūt jā</c:v>
                </c:pt>
              </c:strCache>
            </c:strRef>
          </c:tx>
          <c:cat>
            <c:strRef>
              <c:f>Sheet5!$B$11:$D$11</c:f>
              <c:strCache>
                <c:ptCount val="3"/>
                <c:pt idx="0">
                  <c:v>1.jautājums. Intelektuālā kapitāla pārvaldība</c:v>
                </c:pt>
                <c:pt idx="1">
                  <c:v>2.jautājums. Intelektuālais kapitāls bankas dokumentos </c:v>
                </c:pt>
                <c:pt idx="2">
                  <c:v>3.jautājums. Intelektuālā kapitāla menedžeris</c:v>
                </c:pt>
              </c:strCache>
            </c:strRef>
          </c:cat>
          <c:val>
            <c:numRef>
              <c:f>Sheet5!$B$16:$D$16</c:f>
              <c:numCache>
                <c:formatCode>General</c:formatCode>
                <c:ptCount val="3"/>
                <c:pt idx="0">
                  <c:v>0</c:v>
                </c:pt>
                <c:pt idx="1">
                  <c:v>1</c:v>
                </c:pt>
                <c:pt idx="2">
                  <c:v>0</c:v>
                </c:pt>
              </c:numCache>
            </c:numRef>
          </c:val>
        </c:ser>
        <c:ser>
          <c:idx val="5"/>
          <c:order val="5"/>
          <c:tx>
            <c:strRef>
              <c:f>Sheet5!$A$17</c:f>
              <c:strCache>
                <c:ptCount val="1"/>
                <c:pt idx="0">
                  <c:v>Iespējams</c:v>
                </c:pt>
              </c:strCache>
            </c:strRef>
          </c:tx>
          <c:cat>
            <c:strRef>
              <c:f>Sheet5!$B$11:$D$11</c:f>
              <c:strCache>
                <c:ptCount val="3"/>
                <c:pt idx="0">
                  <c:v>1.jautājums. Intelektuālā kapitāla pārvaldība</c:v>
                </c:pt>
                <c:pt idx="1">
                  <c:v>2.jautājums. Intelektuālais kapitāls bankas dokumentos </c:v>
                </c:pt>
                <c:pt idx="2">
                  <c:v>3.jautājums. Intelektuālā kapitāla menedžeris</c:v>
                </c:pt>
              </c:strCache>
            </c:strRef>
          </c:cat>
          <c:val>
            <c:numRef>
              <c:f>Sheet5!$B$17:$D$17</c:f>
              <c:numCache>
                <c:formatCode>General</c:formatCode>
                <c:ptCount val="3"/>
                <c:pt idx="0">
                  <c:v>0</c:v>
                </c:pt>
                <c:pt idx="1">
                  <c:v>1</c:v>
                </c:pt>
                <c:pt idx="2">
                  <c:v>0</c:v>
                </c:pt>
              </c:numCache>
            </c:numRef>
          </c:val>
        </c:ser>
        <c:gapWidth val="300"/>
        <c:axId val="143156352"/>
        <c:axId val="143157888"/>
      </c:barChart>
      <c:catAx>
        <c:axId val="143156352"/>
        <c:scaling>
          <c:orientation val="minMax"/>
        </c:scaling>
        <c:axPos val="b"/>
        <c:majorTickMark val="none"/>
        <c:tickLblPos val="nextTo"/>
        <c:crossAx val="143157888"/>
        <c:crosses val="autoZero"/>
        <c:auto val="1"/>
        <c:lblAlgn val="ctr"/>
        <c:lblOffset val="100"/>
      </c:catAx>
      <c:valAx>
        <c:axId val="143157888"/>
        <c:scaling>
          <c:orientation val="minMax"/>
        </c:scaling>
        <c:axPos val="l"/>
        <c:majorGridlines/>
        <c:minorGridlines/>
        <c:title>
          <c:tx>
            <c:rich>
              <a:bodyPr/>
              <a:lstStyle/>
              <a:p>
                <a:pPr>
                  <a:defRPr/>
                </a:pPr>
                <a:r>
                  <a:rPr lang="en-US"/>
                  <a:t>Atbilžu biežums</a:t>
                </a:r>
              </a:p>
            </c:rich>
          </c:tx>
        </c:title>
        <c:numFmt formatCode="General" sourceLinked="1"/>
        <c:tickLblPos val="nextTo"/>
        <c:crossAx val="143156352"/>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lv-LV"/>
  <c:style val="1"/>
  <c:chart>
    <c:autoTitleDeleted val="1"/>
    <c:plotArea>
      <c:layout/>
      <c:barChart>
        <c:barDir val="col"/>
        <c:grouping val="clustered"/>
        <c:ser>
          <c:idx val="0"/>
          <c:order val="0"/>
          <c:cat>
            <c:strRef>
              <c:f>Sheet4!$A$27:$C$27</c:f>
              <c:strCache>
                <c:ptCount val="3"/>
                <c:pt idx="0">
                  <c:v>Zināšanu vadīšanas ietekme uz banku rezultātiem</c:v>
                </c:pt>
                <c:pt idx="1">
                  <c:v>Jaunu zināšanu attīstība</c:v>
                </c:pt>
                <c:pt idx="2">
                  <c:v>Tālāka zināšanu nodošana</c:v>
                </c:pt>
              </c:strCache>
            </c:strRef>
          </c:cat>
          <c:val>
            <c:numRef>
              <c:f>Sheet4!$A$28:$C$28</c:f>
              <c:numCache>
                <c:formatCode>General</c:formatCode>
                <c:ptCount val="3"/>
                <c:pt idx="0" formatCode="0">
                  <c:v>25</c:v>
                </c:pt>
                <c:pt idx="1">
                  <c:v>70</c:v>
                </c:pt>
                <c:pt idx="2">
                  <c:v>30</c:v>
                </c:pt>
              </c:numCache>
            </c:numRef>
          </c:val>
        </c:ser>
        <c:ser>
          <c:idx val="1"/>
          <c:order val="1"/>
          <c:cat>
            <c:strRef>
              <c:f>Sheet4!$A$27:$C$27</c:f>
              <c:strCache>
                <c:ptCount val="3"/>
                <c:pt idx="0">
                  <c:v>Zināšanu vadīšanas ietekme uz banku rezultātiem</c:v>
                </c:pt>
                <c:pt idx="1">
                  <c:v>Jaunu zināšanu attīstība</c:v>
                </c:pt>
                <c:pt idx="2">
                  <c:v>Tālāka zināšanu nodošana</c:v>
                </c:pt>
              </c:strCache>
            </c:strRef>
          </c:cat>
          <c:val>
            <c:numRef>
              <c:f>Sheet4!$A$29:$C$29</c:f>
              <c:numCache>
                <c:formatCode>General</c:formatCode>
                <c:ptCount val="3"/>
                <c:pt idx="0" formatCode="0">
                  <c:v>15</c:v>
                </c:pt>
                <c:pt idx="1">
                  <c:v>50</c:v>
                </c:pt>
                <c:pt idx="2">
                  <c:v>50</c:v>
                </c:pt>
              </c:numCache>
            </c:numRef>
          </c:val>
        </c:ser>
        <c:ser>
          <c:idx val="2"/>
          <c:order val="2"/>
          <c:cat>
            <c:strRef>
              <c:f>Sheet4!$A$27:$C$27</c:f>
              <c:strCache>
                <c:ptCount val="3"/>
                <c:pt idx="0">
                  <c:v>Zināšanu vadīšanas ietekme uz banku rezultātiem</c:v>
                </c:pt>
                <c:pt idx="1">
                  <c:v>Jaunu zināšanu attīstība</c:v>
                </c:pt>
                <c:pt idx="2">
                  <c:v>Tālāka zināšanu nodošana</c:v>
                </c:pt>
              </c:strCache>
            </c:strRef>
          </c:cat>
          <c:val>
            <c:numRef>
              <c:f>Sheet4!$A$30:$C$30</c:f>
              <c:numCache>
                <c:formatCode>General</c:formatCode>
                <c:ptCount val="3"/>
                <c:pt idx="0" formatCode="0">
                  <c:v>40</c:v>
                </c:pt>
                <c:pt idx="1">
                  <c:v>30</c:v>
                </c:pt>
                <c:pt idx="2">
                  <c:v>70</c:v>
                </c:pt>
              </c:numCache>
            </c:numRef>
          </c:val>
        </c:ser>
        <c:ser>
          <c:idx val="3"/>
          <c:order val="3"/>
          <c:cat>
            <c:strRef>
              <c:f>Sheet4!$A$27:$C$27</c:f>
              <c:strCache>
                <c:ptCount val="3"/>
                <c:pt idx="0">
                  <c:v>Zināšanu vadīšanas ietekme uz banku rezultātiem</c:v>
                </c:pt>
                <c:pt idx="1">
                  <c:v>Jaunu zināšanu attīstība</c:v>
                </c:pt>
                <c:pt idx="2">
                  <c:v>Tālāka zināšanu nodošana</c:v>
                </c:pt>
              </c:strCache>
            </c:strRef>
          </c:cat>
          <c:val>
            <c:numRef>
              <c:f>Sheet4!$A$31:$C$31</c:f>
              <c:numCache>
                <c:formatCode>General</c:formatCode>
                <c:ptCount val="3"/>
                <c:pt idx="0" formatCode="0">
                  <c:v>0</c:v>
                </c:pt>
                <c:pt idx="1">
                  <c:v>80</c:v>
                </c:pt>
                <c:pt idx="2">
                  <c:v>20</c:v>
                </c:pt>
              </c:numCache>
            </c:numRef>
          </c:val>
        </c:ser>
        <c:ser>
          <c:idx val="4"/>
          <c:order val="4"/>
          <c:cat>
            <c:strRef>
              <c:f>Sheet4!$A$27:$C$27</c:f>
              <c:strCache>
                <c:ptCount val="3"/>
                <c:pt idx="0">
                  <c:v>Zināšanu vadīšanas ietekme uz banku rezultātiem</c:v>
                </c:pt>
                <c:pt idx="1">
                  <c:v>Jaunu zināšanu attīstība</c:v>
                </c:pt>
                <c:pt idx="2">
                  <c:v>Tālāka zināšanu nodošana</c:v>
                </c:pt>
              </c:strCache>
            </c:strRef>
          </c:cat>
          <c:val>
            <c:numRef>
              <c:f>Sheet4!$A$32:$C$32</c:f>
              <c:numCache>
                <c:formatCode>General</c:formatCode>
                <c:ptCount val="3"/>
                <c:pt idx="0" formatCode="0">
                  <c:v>10</c:v>
                </c:pt>
                <c:pt idx="1">
                  <c:v>20</c:v>
                </c:pt>
                <c:pt idx="2">
                  <c:v>80</c:v>
                </c:pt>
              </c:numCache>
            </c:numRef>
          </c:val>
        </c:ser>
        <c:ser>
          <c:idx val="5"/>
          <c:order val="5"/>
          <c:cat>
            <c:strRef>
              <c:f>Sheet4!$A$27:$C$27</c:f>
              <c:strCache>
                <c:ptCount val="3"/>
                <c:pt idx="0">
                  <c:v>Zināšanu vadīšanas ietekme uz banku rezultātiem</c:v>
                </c:pt>
                <c:pt idx="1">
                  <c:v>Jaunu zināšanu attīstība</c:v>
                </c:pt>
                <c:pt idx="2">
                  <c:v>Tālāka zināšanu nodošana</c:v>
                </c:pt>
              </c:strCache>
            </c:strRef>
          </c:cat>
          <c:val>
            <c:numRef>
              <c:f>Sheet4!$A$33:$C$33</c:f>
              <c:numCache>
                <c:formatCode>General</c:formatCode>
                <c:ptCount val="3"/>
                <c:pt idx="0" formatCode="0">
                  <c:v>20</c:v>
                </c:pt>
                <c:pt idx="1">
                  <c:v>60</c:v>
                </c:pt>
                <c:pt idx="2">
                  <c:v>40</c:v>
                </c:pt>
              </c:numCache>
            </c:numRef>
          </c:val>
        </c:ser>
        <c:gapWidth val="300"/>
        <c:axId val="143173888"/>
        <c:axId val="143179776"/>
      </c:barChart>
      <c:catAx>
        <c:axId val="143173888"/>
        <c:scaling>
          <c:orientation val="minMax"/>
        </c:scaling>
        <c:axPos val="b"/>
        <c:majorTickMark val="none"/>
        <c:tickLblPos val="nextTo"/>
        <c:crossAx val="143179776"/>
        <c:crosses val="autoZero"/>
        <c:auto val="1"/>
        <c:lblAlgn val="ctr"/>
        <c:lblOffset val="100"/>
      </c:catAx>
      <c:valAx>
        <c:axId val="143179776"/>
        <c:scaling>
          <c:orientation val="minMax"/>
        </c:scaling>
        <c:axPos val="l"/>
        <c:majorGridlines/>
        <c:minorGridlines/>
        <c:title>
          <c:tx>
            <c:rich>
              <a:bodyPr/>
              <a:lstStyle/>
              <a:p>
                <a:pPr>
                  <a:defRPr/>
                </a:pPr>
                <a:r>
                  <a:rPr lang="en-US"/>
                  <a:t>Novērtējums uz skalas</a:t>
                </a:r>
              </a:p>
            </c:rich>
          </c:tx>
        </c:title>
        <c:numFmt formatCode="0" sourceLinked="1"/>
        <c:tickLblPos val="nextTo"/>
        <c:crossAx val="143173888"/>
        <c:crosses val="autoZero"/>
        <c:crossBetween val="between"/>
      </c:valAx>
    </c:plotArea>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lv-LV"/>
  <c:style val="1"/>
  <c:chart>
    <c:plotArea>
      <c:layout/>
      <c:barChart>
        <c:barDir val="col"/>
        <c:grouping val="clustered"/>
        <c:ser>
          <c:idx val="0"/>
          <c:order val="0"/>
          <c:cat>
            <c:strRef>
              <c:f>Sheet4!$A$46:$C$46</c:f>
              <c:strCache>
                <c:ptCount val="3"/>
                <c:pt idx="0">
                  <c:v>Intelektuālā kapitāla ietekme uz banku rezultātiem</c:v>
                </c:pt>
                <c:pt idx="1">
                  <c:v>Iekšējā struktūra</c:v>
                </c:pt>
                <c:pt idx="2">
                  <c:v>Ārējā struktūra </c:v>
                </c:pt>
              </c:strCache>
            </c:strRef>
          </c:cat>
          <c:val>
            <c:numRef>
              <c:f>Sheet4!$A$47:$C$47</c:f>
              <c:numCache>
                <c:formatCode>General</c:formatCode>
                <c:ptCount val="3"/>
                <c:pt idx="0" formatCode="0">
                  <c:v>65</c:v>
                </c:pt>
                <c:pt idx="1">
                  <c:v>60</c:v>
                </c:pt>
                <c:pt idx="2">
                  <c:v>40</c:v>
                </c:pt>
              </c:numCache>
            </c:numRef>
          </c:val>
        </c:ser>
        <c:ser>
          <c:idx val="1"/>
          <c:order val="1"/>
          <c:cat>
            <c:strRef>
              <c:f>Sheet4!$A$46:$C$46</c:f>
              <c:strCache>
                <c:ptCount val="3"/>
                <c:pt idx="0">
                  <c:v>Intelektuālā kapitāla ietekme uz banku rezultātiem</c:v>
                </c:pt>
                <c:pt idx="1">
                  <c:v>Iekšējā struktūra</c:v>
                </c:pt>
                <c:pt idx="2">
                  <c:v>Ārējā struktūra </c:v>
                </c:pt>
              </c:strCache>
            </c:strRef>
          </c:cat>
          <c:val>
            <c:numRef>
              <c:f>Sheet4!$A$48:$C$48</c:f>
              <c:numCache>
                <c:formatCode>General</c:formatCode>
                <c:ptCount val="3"/>
                <c:pt idx="0" formatCode="0">
                  <c:v>20</c:v>
                </c:pt>
                <c:pt idx="1">
                  <c:v>30</c:v>
                </c:pt>
                <c:pt idx="2">
                  <c:v>70</c:v>
                </c:pt>
              </c:numCache>
            </c:numRef>
          </c:val>
        </c:ser>
        <c:ser>
          <c:idx val="2"/>
          <c:order val="2"/>
          <c:cat>
            <c:strRef>
              <c:f>Sheet4!$A$46:$C$46</c:f>
              <c:strCache>
                <c:ptCount val="3"/>
                <c:pt idx="0">
                  <c:v>Intelektuālā kapitāla ietekme uz banku rezultātiem</c:v>
                </c:pt>
                <c:pt idx="1">
                  <c:v>Iekšējā struktūra</c:v>
                </c:pt>
                <c:pt idx="2">
                  <c:v>Ārējā struktūra </c:v>
                </c:pt>
              </c:strCache>
            </c:strRef>
          </c:cat>
          <c:val>
            <c:numRef>
              <c:f>Sheet4!$A$49:$C$49</c:f>
              <c:numCache>
                <c:formatCode>General</c:formatCode>
                <c:ptCount val="3"/>
                <c:pt idx="0" formatCode="0">
                  <c:v>70</c:v>
                </c:pt>
                <c:pt idx="1">
                  <c:v>80</c:v>
                </c:pt>
                <c:pt idx="2">
                  <c:v>20</c:v>
                </c:pt>
              </c:numCache>
            </c:numRef>
          </c:val>
        </c:ser>
        <c:ser>
          <c:idx val="3"/>
          <c:order val="3"/>
          <c:cat>
            <c:strRef>
              <c:f>Sheet4!$A$46:$C$46</c:f>
              <c:strCache>
                <c:ptCount val="3"/>
                <c:pt idx="0">
                  <c:v>Intelektuālā kapitāla ietekme uz banku rezultātiem</c:v>
                </c:pt>
                <c:pt idx="1">
                  <c:v>Iekšējā struktūra</c:v>
                </c:pt>
                <c:pt idx="2">
                  <c:v>Ārējā struktūra </c:v>
                </c:pt>
              </c:strCache>
            </c:strRef>
          </c:cat>
          <c:val>
            <c:numRef>
              <c:f>Sheet4!$A$50:$C$50</c:f>
              <c:numCache>
                <c:formatCode>General</c:formatCode>
                <c:ptCount val="3"/>
                <c:pt idx="0" formatCode="0">
                  <c:v>65</c:v>
                </c:pt>
                <c:pt idx="1">
                  <c:v>40</c:v>
                </c:pt>
                <c:pt idx="2">
                  <c:v>60</c:v>
                </c:pt>
              </c:numCache>
            </c:numRef>
          </c:val>
        </c:ser>
        <c:ser>
          <c:idx val="4"/>
          <c:order val="4"/>
          <c:cat>
            <c:strRef>
              <c:f>Sheet4!$A$46:$C$46</c:f>
              <c:strCache>
                <c:ptCount val="3"/>
                <c:pt idx="0">
                  <c:v>Intelektuālā kapitāla ietekme uz banku rezultātiem</c:v>
                </c:pt>
                <c:pt idx="1">
                  <c:v>Iekšējā struktūra</c:v>
                </c:pt>
                <c:pt idx="2">
                  <c:v>Ārējā struktūra </c:v>
                </c:pt>
              </c:strCache>
            </c:strRef>
          </c:cat>
          <c:val>
            <c:numRef>
              <c:f>Sheet4!$A$51:$C$51</c:f>
              <c:numCache>
                <c:formatCode>General</c:formatCode>
                <c:ptCount val="3"/>
                <c:pt idx="0" formatCode="0">
                  <c:v>40</c:v>
                </c:pt>
                <c:pt idx="1">
                  <c:v>50</c:v>
                </c:pt>
                <c:pt idx="2">
                  <c:v>50</c:v>
                </c:pt>
              </c:numCache>
            </c:numRef>
          </c:val>
        </c:ser>
        <c:ser>
          <c:idx val="5"/>
          <c:order val="5"/>
          <c:cat>
            <c:strRef>
              <c:f>Sheet4!$A$46:$C$46</c:f>
              <c:strCache>
                <c:ptCount val="3"/>
                <c:pt idx="0">
                  <c:v>Intelektuālā kapitāla ietekme uz banku rezultātiem</c:v>
                </c:pt>
                <c:pt idx="1">
                  <c:v>Iekšējā struktūra</c:v>
                </c:pt>
                <c:pt idx="2">
                  <c:v>Ārējā struktūra </c:v>
                </c:pt>
              </c:strCache>
            </c:strRef>
          </c:cat>
          <c:val>
            <c:numRef>
              <c:f>Sheet4!$A$52:$C$52</c:f>
              <c:numCache>
                <c:formatCode>General</c:formatCode>
                <c:ptCount val="3"/>
                <c:pt idx="0" formatCode="0">
                  <c:v>50</c:v>
                </c:pt>
                <c:pt idx="1">
                  <c:v>55</c:v>
                </c:pt>
                <c:pt idx="2">
                  <c:v>45</c:v>
                </c:pt>
              </c:numCache>
            </c:numRef>
          </c:val>
        </c:ser>
        <c:gapWidth val="300"/>
        <c:axId val="143678464"/>
        <c:axId val="143950592"/>
      </c:barChart>
      <c:catAx>
        <c:axId val="143678464"/>
        <c:scaling>
          <c:orientation val="minMax"/>
        </c:scaling>
        <c:axPos val="b"/>
        <c:majorTickMark val="none"/>
        <c:tickLblPos val="nextTo"/>
        <c:crossAx val="143950592"/>
        <c:crosses val="autoZero"/>
        <c:auto val="1"/>
        <c:lblAlgn val="ctr"/>
        <c:lblOffset val="100"/>
      </c:catAx>
      <c:valAx>
        <c:axId val="143950592"/>
        <c:scaling>
          <c:orientation val="minMax"/>
        </c:scaling>
        <c:axPos val="l"/>
        <c:majorGridlines/>
        <c:minorGridlines/>
        <c:title>
          <c:tx>
            <c:rich>
              <a:bodyPr/>
              <a:lstStyle/>
              <a:p>
                <a:pPr>
                  <a:defRPr/>
                </a:pPr>
                <a:r>
                  <a:rPr lang="en-US"/>
                  <a:t>Novērtējums uz skalas</a:t>
                </a:r>
              </a:p>
            </c:rich>
          </c:tx>
        </c:title>
        <c:numFmt formatCode="0" sourceLinked="1"/>
        <c:tickLblPos val="nextTo"/>
        <c:crossAx val="143678464"/>
        <c:crosses val="autoZero"/>
        <c:crossBetween val="between"/>
      </c:valAx>
    </c:plotArea>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lv-LV"/>
  <c:style val="1"/>
  <c:chart>
    <c:plotArea>
      <c:layout/>
      <c:barChart>
        <c:barDir val="col"/>
        <c:grouping val="clustered"/>
        <c:ser>
          <c:idx val="0"/>
          <c:order val="0"/>
          <c:tx>
            <c:strRef>
              <c:f>Sheet5!$A$2</c:f>
              <c:strCache>
                <c:ptCount val="1"/>
                <c:pt idx="0">
                  <c:v>banka 1</c:v>
                </c:pt>
              </c:strCache>
            </c:strRef>
          </c:tx>
          <c:cat>
            <c:strRef>
              <c:f>Sheet5!$B$1:$F$1</c:f>
              <c:strCache>
                <c:ptCount val="5"/>
                <c:pt idx="0">
                  <c:v>formālais mentorings</c:v>
                </c:pt>
                <c:pt idx="1">
                  <c:v>neformālais mentorings</c:v>
                </c:pt>
                <c:pt idx="2">
                  <c:v>zināsanu vadīšana</c:v>
                </c:pt>
                <c:pt idx="3">
                  <c:v>intelektuālais kapitāls</c:v>
                </c:pt>
                <c:pt idx="4">
                  <c:v>darbinieku motivācija</c:v>
                </c:pt>
              </c:strCache>
            </c:strRef>
          </c:cat>
          <c:val>
            <c:numRef>
              <c:f>Sheet5!$B$2:$F$2</c:f>
              <c:numCache>
                <c:formatCode>General</c:formatCode>
                <c:ptCount val="5"/>
                <c:pt idx="0">
                  <c:v>3.6</c:v>
                </c:pt>
                <c:pt idx="1">
                  <c:v>3.88</c:v>
                </c:pt>
                <c:pt idx="2">
                  <c:v>3.64</c:v>
                </c:pt>
                <c:pt idx="3">
                  <c:v>3.64</c:v>
                </c:pt>
                <c:pt idx="4">
                  <c:v>3.5</c:v>
                </c:pt>
              </c:numCache>
            </c:numRef>
          </c:val>
        </c:ser>
        <c:ser>
          <c:idx val="1"/>
          <c:order val="1"/>
          <c:tx>
            <c:strRef>
              <c:f>Sheet5!$A$3</c:f>
              <c:strCache>
                <c:ptCount val="1"/>
                <c:pt idx="0">
                  <c:v>banka 2</c:v>
                </c:pt>
              </c:strCache>
            </c:strRef>
          </c:tx>
          <c:cat>
            <c:strRef>
              <c:f>Sheet5!$B$1:$F$1</c:f>
              <c:strCache>
                <c:ptCount val="5"/>
                <c:pt idx="0">
                  <c:v>formālais mentorings</c:v>
                </c:pt>
                <c:pt idx="1">
                  <c:v>neformālais mentorings</c:v>
                </c:pt>
                <c:pt idx="2">
                  <c:v>zināsanu vadīšana</c:v>
                </c:pt>
                <c:pt idx="3">
                  <c:v>intelektuālais kapitāls</c:v>
                </c:pt>
                <c:pt idx="4">
                  <c:v>darbinieku motivācija</c:v>
                </c:pt>
              </c:strCache>
            </c:strRef>
          </c:cat>
          <c:val>
            <c:numRef>
              <c:f>Sheet5!$B$3:$F$3</c:f>
              <c:numCache>
                <c:formatCode>General</c:formatCode>
                <c:ptCount val="5"/>
                <c:pt idx="0">
                  <c:v>3.44</c:v>
                </c:pt>
                <c:pt idx="1">
                  <c:v>3.16</c:v>
                </c:pt>
                <c:pt idx="2">
                  <c:v>4.08</c:v>
                </c:pt>
                <c:pt idx="3">
                  <c:v>3.64</c:v>
                </c:pt>
                <c:pt idx="4">
                  <c:v>3.7</c:v>
                </c:pt>
              </c:numCache>
            </c:numRef>
          </c:val>
        </c:ser>
        <c:ser>
          <c:idx val="2"/>
          <c:order val="2"/>
          <c:tx>
            <c:strRef>
              <c:f>Sheet5!$A$4</c:f>
              <c:strCache>
                <c:ptCount val="1"/>
                <c:pt idx="0">
                  <c:v>banka 3</c:v>
                </c:pt>
              </c:strCache>
            </c:strRef>
          </c:tx>
          <c:cat>
            <c:strRef>
              <c:f>Sheet5!$B$1:$F$1</c:f>
              <c:strCache>
                <c:ptCount val="5"/>
                <c:pt idx="0">
                  <c:v>formālais mentorings</c:v>
                </c:pt>
                <c:pt idx="1">
                  <c:v>neformālais mentorings</c:v>
                </c:pt>
                <c:pt idx="2">
                  <c:v>zināsanu vadīšana</c:v>
                </c:pt>
                <c:pt idx="3">
                  <c:v>intelektuālais kapitāls</c:v>
                </c:pt>
                <c:pt idx="4">
                  <c:v>darbinieku motivācija</c:v>
                </c:pt>
              </c:strCache>
            </c:strRef>
          </c:cat>
          <c:val>
            <c:numRef>
              <c:f>Sheet5!$B$4:$F$4</c:f>
              <c:numCache>
                <c:formatCode>General</c:formatCode>
                <c:ptCount val="5"/>
                <c:pt idx="0">
                  <c:v>3.56</c:v>
                </c:pt>
                <c:pt idx="1">
                  <c:v>3.84</c:v>
                </c:pt>
                <c:pt idx="2">
                  <c:v>3.96</c:v>
                </c:pt>
                <c:pt idx="3">
                  <c:v>3.6</c:v>
                </c:pt>
                <c:pt idx="4">
                  <c:v>4.0999999999999996</c:v>
                </c:pt>
              </c:numCache>
            </c:numRef>
          </c:val>
        </c:ser>
        <c:ser>
          <c:idx val="3"/>
          <c:order val="3"/>
          <c:tx>
            <c:strRef>
              <c:f>Sheet5!$A$5</c:f>
              <c:strCache>
                <c:ptCount val="1"/>
                <c:pt idx="0">
                  <c:v>banka 4</c:v>
                </c:pt>
              </c:strCache>
            </c:strRef>
          </c:tx>
          <c:cat>
            <c:strRef>
              <c:f>Sheet5!$B$1:$F$1</c:f>
              <c:strCache>
                <c:ptCount val="5"/>
                <c:pt idx="0">
                  <c:v>formālais mentorings</c:v>
                </c:pt>
                <c:pt idx="1">
                  <c:v>neformālais mentorings</c:v>
                </c:pt>
                <c:pt idx="2">
                  <c:v>zināsanu vadīšana</c:v>
                </c:pt>
                <c:pt idx="3">
                  <c:v>intelektuālais kapitāls</c:v>
                </c:pt>
                <c:pt idx="4">
                  <c:v>darbinieku motivācija</c:v>
                </c:pt>
              </c:strCache>
            </c:strRef>
          </c:cat>
          <c:val>
            <c:numRef>
              <c:f>Sheet5!$B$5:$F$5</c:f>
              <c:numCache>
                <c:formatCode>General</c:formatCode>
                <c:ptCount val="5"/>
                <c:pt idx="0">
                  <c:v>4.2</c:v>
                </c:pt>
                <c:pt idx="1">
                  <c:v>4.3</c:v>
                </c:pt>
                <c:pt idx="2">
                  <c:v>3.92</c:v>
                </c:pt>
                <c:pt idx="3">
                  <c:v>3.88</c:v>
                </c:pt>
                <c:pt idx="4">
                  <c:v>4.04</c:v>
                </c:pt>
              </c:numCache>
            </c:numRef>
          </c:val>
        </c:ser>
        <c:ser>
          <c:idx val="4"/>
          <c:order val="4"/>
          <c:tx>
            <c:strRef>
              <c:f>Sheet5!$A$6</c:f>
              <c:strCache>
                <c:ptCount val="1"/>
                <c:pt idx="0">
                  <c:v>banka 5</c:v>
                </c:pt>
              </c:strCache>
            </c:strRef>
          </c:tx>
          <c:cat>
            <c:strRef>
              <c:f>Sheet5!$B$1:$F$1</c:f>
              <c:strCache>
                <c:ptCount val="5"/>
                <c:pt idx="0">
                  <c:v>formālais mentorings</c:v>
                </c:pt>
                <c:pt idx="1">
                  <c:v>neformālais mentorings</c:v>
                </c:pt>
                <c:pt idx="2">
                  <c:v>zināsanu vadīšana</c:v>
                </c:pt>
                <c:pt idx="3">
                  <c:v>intelektuālais kapitāls</c:v>
                </c:pt>
                <c:pt idx="4">
                  <c:v>darbinieku motivācija</c:v>
                </c:pt>
              </c:strCache>
            </c:strRef>
          </c:cat>
          <c:val>
            <c:numRef>
              <c:f>Sheet5!$B$6:$F$6</c:f>
              <c:numCache>
                <c:formatCode>General</c:formatCode>
                <c:ptCount val="5"/>
                <c:pt idx="0">
                  <c:v>3.44</c:v>
                </c:pt>
                <c:pt idx="1">
                  <c:v>3.8</c:v>
                </c:pt>
                <c:pt idx="2">
                  <c:v>3.98</c:v>
                </c:pt>
                <c:pt idx="3">
                  <c:v>3.7600000000000002</c:v>
                </c:pt>
                <c:pt idx="4">
                  <c:v>3.6</c:v>
                </c:pt>
              </c:numCache>
            </c:numRef>
          </c:val>
        </c:ser>
        <c:ser>
          <c:idx val="5"/>
          <c:order val="5"/>
          <c:tx>
            <c:strRef>
              <c:f>Sheet5!$A$7</c:f>
              <c:strCache>
                <c:ptCount val="1"/>
                <c:pt idx="0">
                  <c:v>banka 6</c:v>
                </c:pt>
              </c:strCache>
            </c:strRef>
          </c:tx>
          <c:cat>
            <c:strRef>
              <c:f>Sheet5!$B$1:$F$1</c:f>
              <c:strCache>
                <c:ptCount val="5"/>
                <c:pt idx="0">
                  <c:v>formālais mentorings</c:v>
                </c:pt>
                <c:pt idx="1">
                  <c:v>neformālais mentorings</c:v>
                </c:pt>
                <c:pt idx="2">
                  <c:v>zināsanu vadīšana</c:v>
                </c:pt>
                <c:pt idx="3">
                  <c:v>intelektuālais kapitāls</c:v>
                </c:pt>
                <c:pt idx="4">
                  <c:v>darbinieku motivācija</c:v>
                </c:pt>
              </c:strCache>
            </c:strRef>
          </c:cat>
          <c:val>
            <c:numRef>
              <c:f>Sheet5!$B$7:$F$7</c:f>
              <c:numCache>
                <c:formatCode>General</c:formatCode>
                <c:ptCount val="5"/>
                <c:pt idx="0">
                  <c:v>3.56</c:v>
                </c:pt>
                <c:pt idx="1">
                  <c:v>3.72</c:v>
                </c:pt>
                <c:pt idx="2">
                  <c:v>4</c:v>
                </c:pt>
                <c:pt idx="3">
                  <c:v>3.68</c:v>
                </c:pt>
                <c:pt idx="4">
                  <c:v>3.5</c:v>
                </c:pt>
              </c:numCache>
            </c:numRef>
          </c:val>
        </c:ser>
        <c:gapWidth val="300"/>
        <c:axId val="144732160"/>
        <c:axId val="144733696"/>
      </c:barChart>
      <c:catAx>
        <c:axId val="144732160"/>
        <c:scaling>
          <c:orientation val="minMax"/>
        </c:scaling>
        <c:axPos val="b"/>
        <c:majorTickMark val="none"/>
        <c:tickLblPos val="nextTo"/>
        <c:crossAx val="144733696"/>
        <c:crosses val="autoZero"/>
        <c:auto val="1"/>
        <c:lblAlgn val="ctr"/>
        <c:lblOffset val="100"/>
      </c:catAx>
      <c:valAx>
        <c:axId val="144733696"/>
        <c:scaling>
          <c:orientation val="minMax"/>
        </c:scaling>
        <c:axPos val="l"/>
        <c:majorGridlines/>
        <c:minorGridlines/>
        <c:title>
          <c:tx>
            <c:rich>
              <a:bodyPr/>
              <a:lstStyle/>
              <a:p>
                <a:pPr>
                  <a:defRPr/>
                </a:pPr>
                <a:r>
                  <a:rPr lang="en-US"/>
                  <a:t>Novērtējums uz skalas</a:t>
                </a:r>
              </a:p>
            </c:rich>
          </c:tx>
        </c:title>
        <c:numFmt formatCode="General" sourceLinked="1"/>
        <c:tickLblPos val="nextTo"/>
        <c:crossAx val="144732160"/>
        <c:crosses val="autoZero"/>
        <c:crossBetween val="between"/>
      </c:valAx>
    </c:plotArea>
    <c:legend>
      <c:legendPos val="r"/>
    </c:legend>
    <c:plotVisOnly val="1"/>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lv-LV"/>
  <c:style val="1"/>
  <c:chart>
    <c:plotArea>
      <c:layout>
        <c:manualLayout>
          <c:layoutTarget val="inner"/>
          <c:xMode val="edge"/>
          <c:yMode val="edge"/>
          <c:x val="0.24984142607174134"/>
          <c:y val="0.12551311308018614"/>
          <c:w val="0.50031714785651638"/>
          <c:h val="0.78378665460551222"/>
        </c:manualLayout>
      </c:layout>
      <c:radarChart>
        <c:radarStyle val="marker"/>
        <c:ser>
          <c:idx val="0"/>
          <c:order val="0"/>
          <c:marker>
            <c:symbol val="none"/>
          </c:marker>
          <c:cat>
            <c:strRef>
              <c:f>Sheet5!$I$1:$M$1</c:f>
              <c:strCache>
                <c:ptCount val="5"/>
                <c:pt idx="0">
                  <c:v>formālais mentorings</c:v>
                </c:pt>
                <c:pt idx="1">
                  <c:v>neformālais mentorings</c:v>
                </c:pt>
                <c:pt idx="2">
                  <c:v>zināsanu vadīšana</c:v>
                </c:pt>
                <c:pt idx="3">
                  <c:v>intelektuālais kapitāls</c:v>
                </c:pt>
                <c:pt idx="4">
                  <c:v>darbinieku motivācija</c:v>
                </c:pt>
              </c:strCache>
            </c:strRef>
          </c:cat>
          <c:val>
            <c:numRef>
              <c:f>Sheet5!$I$2:$M$2</c:f>
              <c:numCache>
                <c:formatCode>General</c:formatCode>
                <c:ptCount val="5"/>
                <c:pt idx="0">
                  <c:v>3.63</c:v>
                </c:pt>
                <c:pt idx="1">
                  <c:v>3.7800000000000002</c:v>
                </c:pt>
                <c:pt idx="2">
                  <c:v>3.9299999999999997</c:v>
                </c:pt>
                <c:pt idx="3">
                  <c:v>3.7</c:v>
                </c:pt>
                <c:pt idx="4">
                  <c:v>3.74</c:v>
                </c:pt>
              </c:numCache>
            </c:numRef>
          </c:val>
        </c:ser>
        <c:axId val="146068608"/>
        <c:axId val="146070144"/>
      </c:radarChart>
      <c:catAx>
        <c:axId val="146068608"/>
        <c:scaling>
          <c:orientation val="minMax"/>
        </c:scaling>
        <c:axPos val="b"/>
        <c:majorGridlines/>
        <c:tickLblPos val="nextTo"/>
        <c:crossAx val="146070144"/>
        <c:crosses val="autoZero"/>
        <c:auto val="1"/>
        <c:lblAlgn val="ctr"/>
        <c:lblOffset val="100"/>
      </c:catAx>
      <c:valAx>
        <c:axId val="146070144"/>
        <c:scaling>
          <c:orientation val="minMax"/>
        </c:scaling>
        <c:axPos val="l"/>
        <c:majorGridlines/>
        <c:numFmt formatCode="General" sourceLinked="1"/>
        <c:majorTickMark val="cross"/>
        <c:tickLblPos val="nextTo"/>
        <c:crossAx val="146068608"/>
        <c:crosses val="autoZero"/>
        <c:crossBetween val="between"/>
      </c:valAx>
    </c:plotArea>
    <c:plotVisOnly val="1"/>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lv-LV"/>
  <c:style val="1"/>
  <c:chart>
    <c:plotArea>
      <c:layout/>
      <c:radarChart>
        <c:radarStyle val="marker"/>
        <c:ser>
          <c:idx val="0"/>
          <c:order val="0"/>
          <c:tx>
            <c:strRef>
              <c:f>Sheet6!$B$1</c:f>
              <c:strCache>
                <c:ptCount val="1"/>
                <c:pt idx="0">
                  <c:v>zināšanu vadīšanas ietekme uz finanšu rādītājiem</c:v>
                </c:pt>
              </c:strCache>
            </c:strRef>
          </c:tx>
          <c:marker>
            <c:symbol val="none"/>
          </c:marker>
          <c:cat>
            <c:strRef>
              <c:f>Sheet6!$A$2:$A$7</c:f>
              <c:strCache>
                <c:ptCount val="6"/>
                <c:pt idx="0">
                  <c:v>banka 1</c:v>
                </c:pt>
                <c:pt idx="1">
                  <c:v>banka 2</c:v>
                </c:pt>
                <c:pt idx="2">
                  <c:v>banka 3</c:v>
                </c:pt>
                <c:pt idx="3">
                  <c:v>banka 4</c:v>
                </c:pt>
                <c:pt idx="4">
                  <c:v>banka 5</c:v>
                </c:pt>
                <c:pt idx="5">
                  <c:v>banka 6</c:v>
                </c:pt>
              </c:strCache>
            </c:strRef>
          </c:cat>
          <c:val>
            <c:numRef>
              <c:f>Sheet6!$B$2:$B$7</c:f>
              <c:numCache>
                <c:formatCode>General</c:formatCode>
                <c:ptCount val="6"/>
                <c:pt idx="0">
                  <c:v>3.8</c:v>
                </c:pt>
                <c:pt idx="1">
                  <c:v>4.2</c:v>
                </c:pt>
                <c:pt idx="2">
                  <c:v>4</c:v>
                </c:pt>
                <c:pt idx="3">
                  <c:v>4.0999999999999996</c:v>
                </c:pt>
                <c:pt idx="4">
                  <c:v>3.6</c:v>
                </c:pt>
                <c:pt idx="5">
                  <c:v>3.8</c:v>
                </c:pt>
              </c:numCache>
            </c:numRef>
          </c:val>
        </c:ser>
        <c:ser>
          <c:idx val="1"/>
          <c:order val="1"/>
          <c:tx>
            <c:strRef>
              <c:f>Sheet6!$C$1</c:f>
              <c:strCache>
                <c:ptCount val="1"/>
                <c:pt idx="0">
                  <c:v>intelektuālā kapitāla ietekme uz finanšu rādītājiem</c:v>
                </c:pt>
              </c:strCache>
            </c:strRef>
          </c:tx>
          <c:marker>
            <c:symbol val="none"/>
          </c:marker>
          <c:cat>
            <c:strRef>
              <c:f>Sheet6!$A$2:$A$7</c:f>
              <c:strCache>
                <c:ptCount val="6"/>
                <c:pt idx="0">
                  <c:v>banka 1</c:v>
                </c:pt>
                <c:pt idx="1">
                  <c:v>banka 2</c:v>
                </c:pt>
                <c:pt idx="2">
                  <c:v>banka 3</c:v>
                </c:pt>
                <c:pt idx="3">
                  <c:v>banka 4</c:v>
                </c:pt>
                <c:pt idx="4">
                  <c:v>banka 5</c:v>
                </c:pt>
                <c:pt idx="5">
                  <c:v>banka 6</c:v>
                </c:pt>
              </c:strCache>
            </c:strRef>
          </c:cat>
          <c:val>
            <c:numRef>
              <c:f>Sheet6!$C$2:$C$7</c:f>
              <c:numCache>
                <c:formatCode>General</c:formatCode>
                <c:ptCount val="6"/>
                <c:pt idx="0">
                  <c:v>3.6</c:v>
                </c:pt>
                <c:pt idx="1">
                  <c:v>4</c:v>
                </c:pt>
                <c:pt idx="2">
                  <c:v>4.2</c:v>
                </c:pt>
                <c:pt idx="3">
                  <c:v>4.3</c:v>
                </c:pt>
                <c:pt idx="4">
                  <c:v>3.8</c:v>
                </c:pt>
                <c:pt idx="5">
                  <c:v>4</c:v>
                </c:pt>
              </c:numCache>
            </c:numRef>
          </c:val>
        </c:ser>
        <c:axId val="151591168"/>
        <c:axId val="151592960"/>
      </c:radarChart>
      <c:catAx>
        <c:axId val="151591168"/>
        <c:scaling>
          <c:orientation val="minMax"/>
        </c:scaling>
        <c:axPos val="b"/>
        <c:majorGridlines/>
        <c:tickLblPos val="nextTo"/>
        <c:crossAx val="151592960"/>
        <c:crosses val="autoZero"/>
        <c:auto val="1"/>
        <c:lblAlgn val="ctr"/>
        <c:lblOffset val="100"/>
      </c:catAx>
      <c:valAx>
        <c:axId val="151592960"/>
        <c:scaling>
          <c:orientation val="minMax"/>
        </c:scaling>
        <c:axPos val="l"/>
        <c:majorGridlines/>
        <c:numFmt formatCode="General" sourceLinked="1"/>
        <c:majorTickMark val="cross"/>
        <c:tickLblPos val="nextTo"/>
        <c:crossAx val="151591168"/>
        <c:crosses val="autoZero"/>
        <c:crossBetween val="between"/>
      </c:valAx>
    </c:plotArea>
    <c:legend>
      <c:legendPos val="r"/>
    </c:legend>
    <c:plotVisOnly val="1"/>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lv-LV"/>
  <c:style val="1"/>
  <c:chart>
    <c:plotArea>
      <c:layout/>
      <c:radarChart>
        <c:radarStyle val="marker"/>
        <c:ser>
          <c:idx val="0"/>
          <c:order val="0"/>
          <c:tx>
            <c:strRef>
              <c:f>Sheet4!$A$15:$B$15</c:f>
              <c:strCache>
                <c:ptCount val="1"/>
                <c:pt idx="0">
                  <c:v>zināšanu vadīšana vadības vērtējumā</c:v>
                </c:pt>
              </c:strCache>
            </c:strRef>
          </c:tx>
          <c:marker>
            <c:symbol val="none"/>
          </c:marker>
          <c:cat>
            <c:strRef>
              <c:f>Sheet4!$C$14:$H$14</c:f>
              <c:strCache>
                <c:ptCount val="6"/>
                <c:pt idx="0">
                  <c:v>banka 1</c:v>
                </c:pt>
                <c:pt idx="1">
                  <c:v>banka 2</c:v>
                </c:pt>
                <c:pt idx="2">
                  <c:v>banka 3</c:v>
                </c:pt>
                <c:pt idx="3">
                  <c:v>banka 4</c:v>
                </c:pt>
                <c:pt idx="4">
                  <c:v> banka 5 </c:v>
                </c:pt>
                <c:pt idx="5">
                  <c:v>banka 6</c:v>
                </c:pt>
              </c:strCache>
            </c:strRef>
          </c:cat>
          <c:val>
            <c:numRef>
              <c:f>Sheet4!$C$15:$H$15</c:f>
              <c:numCache>
                <c:formatCode>General</c:formatCode>
                <c:ptCount val="6"/>
                <c:pt idx="0">
                  <c:v>25</c:v>
                </c:pt>
                <c:pt idx="1">
                  <c:v>15</c:v>
                </c:pt>
                <c:pt idx="2">
                  <c:v>40</c:v>
                </c:pt>
                <c:pt idx="3">
                  <c:v>0</c:v>
                </c:pt>
                <c:pt idx="4">
                  <c:v>10</c:v>
                </c:pt>
                <c:pt idx="5">
                  <c:v>20</c:v>
                </c:pt>
              </c:numCache>
            </c:numRef>
          </c:val>
        </c:ser>
        <c:ser>
          <c:idx val="1"/>
          <c:order val="1"/>
          <c:tx>
            <c:strRef>
              <c:f>Sheet4!$A$16:$B$16</c:f>
              <c:strCache>
                <c:ptCount val="1"/>
                <c:pt idx="0">
                  <c:v>zināšanu vadīšana darbinieku vērtējumā</c:v>
                </c:pt>
              </c:strCache>
            </c:strRef>
          </c:tx>
          <c:marker>
            <c:symbol val="none"/>
          </c:marker>
          <c:cat>
            <c:strRef>
              <c:f>Sheet4!$C$14:$H$14</c:f>
              <c:strCache>
                <c:ptCount val="6"/>
                <c:pt idx="0">
                  <c:v>banka 1</c:v>
                </c:pt>
                <c:pt idx="1">
                  <c:v>banka 2</c:v>
                </c:pt>
                <c:pt idx="2">
                  <c:v>banka 3</c:v>
                </c:pt>
                <c:pt idx="3">
                  <c:v>banka 4</c:v>
                </c:pt>
                <c:pt idx="4">
                  <c:v> banka 5 </c:v>
                </c:pt>
                <c:pt idx="5">
                  <c:v>banka 6</c:v>
                </c:pt>
              </c:strCache>
            </c:strRef>
          </c:cat>
          <c:val>
            <c:numRef>
              <c:f>Sheet4!$C$16:$H$16</c:f>
              <c:numCache>
                <c:formatCode>General</c:formatCode>
                <c:ptCount val="6"/>
                <c:pt idx="0">
                  <c:v>30</c:v>
                </c:pt>
                <c:pt idx="1">
                  <c:v>40</c:v>
                </c:pt>
                <c:pt idx="2">
                  <c:v>20</c:v>
                </c:pt>
                <c:pt idx="3">
                  <c:v>25</c:v>
                </c:pt>
                <c:pt idx="4">
                  <c:v>40</c:v>
                </c:pt>
                <c:pt idx="5">
                  <c:v>40</c:v>
                </c:pt>
              </c:numCache>
            </c:numRef>
          </c:val>
        </c:ser>
        <c:ser>
          <c:idx val="2"/>
          <c:order val="2"/>
          <c:tx>
            <c:strRef>
              <c:f>Sheet4!$A$17:$B$17</c:f>
              <c:strCache>
                <c:ptCount val="1"/>
                <c:pt idx="0">
                  <c:v>intelektuālais kapitāls vadības vērtējumā</c:v>
                </c:pt>
              </c:strCache>
            </c:strRef>
          </c:tx>
          <c:marker>
            <c:symbol val="none"/>
          </c:marker>
          <c:cat>
            <c:strRef>
              <c:f>Sheet4!$C$14:$H$14</c:f>
              <c:strCache>
                <c:ptCount val="6"/>
                <c:pt idx="0">
                  <c:v>banka 1</c:v>
                </c:pt>
                <c:pt idx="1">
                  <c:v>banka 2</c:v>
                </c:pt>
                <c:pt idx="2">
                  <c:v>banka 3</c:v>
                </c:pt>
                <c:pt idx="3">
                  <c:v>banka 4</c:v>
                </c:pt>
                <c:pt idx="4">
                  <c:v> banka 5 </c:v>
                </c:pt>
                <c:pt idx="5">
                  <c:v>banka 6</c:v>
                </c:pt>
              </c:strCache>
            </c:strRef>
          </c:cat>
          <c:val>
            <c:numRef>
              <c:f>Sheet4!$C$17:$H$17</c:f>
              <c:numCache>
                <c:formatCode>General</c:formatCode>
                <c:ptCount val="6"/>
                <c:pt idx="0">
                  <c:v>65</c:v>
                </c:pt>
                <c:pt idx="1">
                  <c:v>20</c:v>
                </c:pt>
                <c:pt idx="2">
                  <c:v>70</c:v>
                </c:pt>
                <c:pt idx="3">
                  <c:v>65</c:v>
                </c:pt>
                <c:pt idx="4">
                  <c:v>40</c:v>
                </c:pt>
                <c:pt idx="5">
                  <c:v>50</c:v>
                </c:pt>
              </c:numCache>
            </c:numRef>
          </c:val>
        </c:ser>
        <c:ser>
          <c:idx val="3"/>
          <c:order val="3"/>
          <c:tx>
            <c:strRef>
              <c:f>Sheet4!$A$18:$B$18</c:f>
              <c:strCache>
                <c:ptCount val="1"/>
                <c:pt idx="0">
                  <c:v>intelektuālais kapitāls darbinieku vērtējumā</c:v>
                </c:pt>
              </c:strCache>
            </c:strRef>
          </c:tx>
          <c:marker>
            <c:symbol val="none"/>
          </c:marker>
          <c:cat>
            <c:strRef>
              <c:f>Sheet4!$C$14:$H$14</c:f>
              <c:strCache>
                <c:ptCount val="6"/>
                <c:pt idx="0">
                  <c:v>banka 1</c:v>
                </c:pt>
                <c:pt idx="1">
                  <c:v>banka 2</c:v>
                </c:pt>
                <c:pt idx="2">
                  <c:v>banka 3</c:v>
                </c:pt>
                <c:pt idx="3">
                  <c:v>banka 4</c:v>
                </c:pt>
                <c:pt idx="4">
                  <c:v> banka 5 </c:v>
                </c:pt>
                <c:pt idx="5">
                  <c:v>banka 6</c:v>
                </c:pt>
              </c:strCache>
            </c:strRef>
          </c:cat>
          <c:val>
            <c:numRef>
              <c:f>Sheet4!$C$18:$H$18</c:f>
              <c:numCache>
                <c:formatCode>General</c:formatCode>
                <c:ptCount val="6"/>
                <c:pt idx="0">
                  <c:v>70</c:v>
                </c:pt>
                <c:pt idx="1">
                  <c:v>60</c:v>
                </c:pt>
                <c:pt idx="2" formatCode="0;[Red]0">
                  <c:v>80</c:v>
                </c:pt>
                <c:pt idx="3">
                  <c:v>65</c:v>
                </c:pt>
                <c:pt idx="4">
                  <c:v>60</c:v>
                </c:pt>
                <c:pt idx="5">
                  <c:v>60</c:v>
                </c:pt>
              </c:numCache>
            </c:numRef>
          </c:val>
        </c:ser>
        <c:axId val="151619072"/>
        <c:axId val="151620608"/>
      </c:radarChart>
      <c:catAx>
        <c:axId val="151619072"/>
        <c:scaling>
          <c:orientation val="minMax"/>
        </c:scaling>
        <c:axPos val="b"/>
        <c:majorGridlines/>
        <c:tickLblPos val="nextTo"/>
        <c:crossAx val="151620608"/>
        <c:crosses val="autoZero"/>
        <c:auto val="1"/>
        <c:lblAlgn val="ctr"/>
        <c:lblOffset val="100"/>
      </c:catAx>
      <c:valAx>
        <c:axId val="151620608"/>
        <c:scaling>
          <c:orientation val="minMax"/>
        </c:scaling>
        <c:axPos val="l"/>
        <c:majorGridlines/>
        <c:numFmt formatCode="General" sourceLinked="1"/>
        <c:majorTickMark val="cross"/>
        <c:tickLblPos val="nextTo"/>
        <c:crossAx val="151619072"/>
        <c:crosses val="autoZero"/>
        <c:crossBetween val="between"/>
      </c:valAx>
    </c:plotArea>
    <c:legend>
      <c:legendPos val="r"/>
    </c:legend>
    <c:plotVisOnly val="1"/>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lv-LV"/>
  <c:style val="1"/>
  <c:chart>
    <c:plotArea>
      <c:layout/>
      <c:barChart>
        <c:barDir val="col"/>
        <c:grouping val="clustered"/>
        <c:ser>
          <c:idx val="0"/>
          <c:order val="0"/>
          <c:tx>
            <c:strRef>
              <c:f>Sheet7!$B$13</c:f>
              <c:strCache>
                <c:ptCount val="1"/>
                <c:pt idx="0">
                  <c:v>banka 1</c:v>
                </c:pt>
              </c:strCache>
            </c:strRef>
          </c:tx>
          <c:cat>
            <c:strRef>
              <c:f>Sheet7!$A$14:$A$21</c:f>
              <c:strCache>
                <c:ptCount val="8"/>
                <c:pt idx="0">
                  <c:v>kredītrisks</c:v>
                </c:pt>
                <c:pt idx="1">
                  <c:v>likviditāte</c:v>
                </c:pt>
                <c:pt idx="2">
                  <c:v>valūtas risks</c:v>
                </c:pt>
                <c:pt idx="3">
                  <c:v>kapitāla pietiekamība</c:v>
                </c:pt>
                <c:pt idx="4">
                  <c:v>ROE</c:v>
                </c:pt>
                <c:pt idx="5">
                  <c:v>ROA</c:v>
                </c:pt>
                <c:pt idx="6">
                  <c:v>Intelektuālais kapitāls</c:v>
                </c:pt>
                <c:pt idx="7">
                  <c:v>Zināšanu vadīšana</c:v>
                </c:pt>
              </c:strCache>
            </c:strRef>
          </c:cat>
          <c:val>
            <c:numRef>
              <c:f>Sheet7!$B$14:$B$21</c:f>
              <c:numCache>
                <c:formatCode>General</c:formatCode>
                <c:ptCount val="8"/>
                <c:pt idx="0">
                  <c:v>10</c:v>
                </c:pt>
                <c:pt idx="1">
                  <c:v>60</c:v>
                </c:pt>
                <c:pt idx="2">
                  <c:v>10</c:v>
                </c:pt>
                <c:pt idx="3" formatCode="0.00;[Red]0.00">
                  <c:v>12.41</c:v>
                </c:pt>
                <c:pt idx="4">
                  <c:v>0</c:v>
                </c:pt>
                <c:pt idx="5">
                  <c:v>0</c:v>
                </c:pt>
                <c:pt idx="6">
                  <c:v>73</c:v>
                </c:pt>
                <c:pt idx="7">
                  <c:v>53</c:v>
                </c:pt>
              </c:numCache>
            </c:numRef>
          </c:val>
        </c:ser>
        <c:ser>
          <c:idx val="1"/>
          <c:order val="1"/>
          <c:tx>
            <c:strRef>
              <c:f>Sheet7!$C$13</c:f>
              <c:strCache>
                <c:ptCount val="1"/>
                <c:pt idx="0">
                  <c:v>banka 2</c:v>
                </c:pt>
              </c:strCache>
            </c:strRef>
          </c:tx>
          <c:cat>
            <c:strRef>
              <c:f>Sheet7!$A$14:$A$21</c:f>
              <c:strCache>
                <c:ptCount val="8"/>
                <c:pt idx="0">
                  <c:v>kredītrisks</c:v>
                </c:pt>
                <c:pt idx="1">
                  <c:v>likviditāte</c:v>
                </c:pt>
                <c:pt idx="2">
                  <c:v>valūtas risks</c:v>
                </c:pt>
                <c:pt idx="3">
                  <c:v>kapitāla pietiekamība</c:v>
                </c:pt>
                <c:pt idx="4">
                  <c:v>ROE</c:v>
                </c:pt>
                <c:pt idx="5">
                  <c:v>ROA</c:v>
                </c:pt>
                <c:pt idx="6">
                  <c:v>Intelektuālais kapitāls</c:v>
                </c:pt>
                <c:pt idx="7">
                  <c:v>Zināšanu vadīšana</c:v>
                </c:pt>
              </c:strCache>
            </c:strRef>
          </c:cat>
          <c:val>
            <c:numRef>
              <c:f>Sheet7!$C$14:$C$21</c:f>
              <c:numCache>
                <c:formatCode>General</c:formatCode>
                <c:ptCount val="8"/>
                <c:pt idx="0">
                  <c:v>8.8600000000000048</c:v>
                </c:pt>
                <c:pt idx="1">
                  <c:v>61.49</c:v>
                </c:pt>
                <c:pt idx="2">
                  <c:v>10</c:v>
                </c:pt>
                <c:pt idx="3">
                  <c:v>14.96</c:v>
                </c:pt>
                <c:pt idx="4" formatCode="0.00">
                  <c:v>-15.31</c:v>
                </c:pt>
                <c:pt idx="5" formatCode="0.00">
                  <c:v>-1</c:v>
                </c:pt>
                <c:pt idx="6">
                  <c:v>40</c:v>
                </c:pt>
                <c:pt idx="7">
                  <c:v>38</c:v>
                </c:pt>
              </c:numCache>
            </c:numRef>
          </c:val>
        </c:ser>
        <c:ser>
          <c:idx val="2"/>
          <c:order val="2"/>
          <c:tx>
            <c:strRef>
              <c:f>Sheet7!$D$13</c:f>
              <c:strCache>
                <c:ptCount val="1"/>
                <c:pt idx="0">
                  <c:v>banka 3</c:v>
                </c:pt>
              </c:strCache>
            </c:strRef>
          </c:tx>
          <c:cat>
            <c:strRef>
              <c:f>Sheet7!$A$14:$A$21</c:f>
              <c:strCache>
                <c:ptCount val="8"/>
                <c:pt idx="0">
                  <c:v>kredītrisks</c:v>
                </c:pt>
                <c:pt idx="1">
                  <c:v>likviditāte</c:v>
                </c:pt>
                <c:pt idx="2">
                  <c:v>valūtas risks</c:v>
                </c:pt>
                <c:pt idx="3">
                  <c:v>kapitāla pietiekamība</c:v>
                </c:pt>
                <c:pt idx="4">
                  <c:v>ROE</c:v>
                </c:pt>
                <c:pt idx="5">
                  <c:v>ROA</c:v>
                </c:pt>
                <c:pt idx="6">
                  <c:v>Intelektuālais kapitāls</c:v>
                </c:pt>
                <c:pt idx="7">
                  <c:v>Zināšanu vadīšana</c:v>
                </c:pt>
              </c:strCache>
            </c:strRef>
          </c:cat>
          <c:val>
            <c:numRef>
              <c:f>Sheet7!$D$14:$D$21</c:f>
              <c:numCache>
                <c:formatCode>General</c:formatCode>
                <c:ptCount val="8"/>
                <c:pt idx="0">
                  <c:v>10</c:v>
                </c:pt>
                <c:pt idx="1">
                  <c:v>32</c:v>
                </c:pt>
                <c:pt idx="2">
                  <c:v>10</c:v>
                </c:pt>
                <c:pt idx="3">
                  <c:v>12.41</c:v>
                </c:pt>
                <c:pt idx="4" formatCode="0.00">
                  <c:v>-68.22</c:v>
                </c:pt>
                <c:pt idx="5" formatCode="0.00">
                  <c:v>-2.9099999999999997</c:v>
                </c:pt>
                <c:pt idx="6">
                  <c:v>75</c:v>
                </c:pt>
                <c:pt idx="7">
                  <c:v>70</c:v>
                </c:pt>
              </c:numCache>
            </c:numRef>
          </c:val>
        </c:ser>
        <c:ser>
          <c:idx val="3"/>
          <c:order val="3"/>
          <c:tx>
            <c:strRef>
              <c:f>Sheet7!$E$13</c:f>
              <c:strCache>
                <c:ptCount val="1"/>
                <c:pt idx="0">
                  <c:v>banka 4</c:v>
                </c:pt>
              </c:strCache>
            </c:strRef>
          </c:tx>
          <c:cat>
            <c:strRef>
              <c:f>Sheet7!$A$14:$A$21</c:f>
              <c:strCache>
                <c:ptCount val="8"/>
                <c:pt idx="0">
                  <c:v>kredītrisks</c:v>
                </c:pt>
                <c:pt idx="1">
                  <c:v>likviditāte</c:v>
                </c:pt>
                <c:pt idx="2">
                  <c:v>valūtas risks</c:v>
                </c:pt>
                <c:pt idx="3">
                  <c:v>kapitāla pietiekamība</c:v>
                </c:pt>
                <c:pt idx="4">
                  <c:v>ROE</c:v>
                </c:pt>
                <c:pt idx="5">
                  <c:v>ROA</c:v>
                </c:pt>
                <c:pt idx="6">
                  <c:v>Intelektuālais kapitāls</c:v>
                </c:pt>
                <c:pt idx="7">
                  <c:v>Zināšanu vadīšana</c:v>
                </c:pt>
              </c:strCache>
            </c:strRef>
          </c:cat>
          <c:val>
            <c:numRef>
              <c:f>Sheet7!$E$14:$E$21</c:f>
              <c:numCache>
                <c:formatCode>mmm/yy</c:formatCode>
                <c:ptCount val="8"/>
                <c:pt idx="0" formatCode="General">
                  <c:v>9.48</c:v>
                </c:pt>
                <c:pt idx="1">
                  <c:v>56.3</c:v>
                </c:pt>
                <c:pt idx="2" formatCode="General">
                  <c:v>10</c:v>
                </c:pt>
                <c:pt idx="3" formatCode="General">
                  <c:v>13.22</c:v>
                </c:pt>
                <c:pt idx="4" formatCode="General">
                  <c:v>0.25</c:v>
                </c:pt>
                <c:pt idx="5" formatCode="General">
                  <c:v>2.0000000000000011E-2</c:v>
                </c:pt>
                <c:pt idx="6" formatCode="General">
                  <c:v>83</c:v>
                </c:pt>
                <c:pt idx="7" formatCode="General">
                  <c:v>50</c:v>
                </c:pt>
              </c:numCache>
            </c:numRef>
          </c:val>
        </c:ser>
        <c:ser>
          <c:idx val="4"/>
          <c:order val="4"/>
          <c:tx>
            <c:strRef>
              <c:f>Sheet7!$F$13</c:f>
              <c:strCache>
                <c:ptCount val="1"/>
                <c:pt idx="0">
                  <c:v>banka 5</c:v>
                </c:pt>
              </c:strCache>
            </c:strRef>
          </c:tx>
          <c:cat>
            <c:strRef>
              <c:f>Sheet7!$A$14:$A$21</c:f>
              <c:strCache>
                <c:ptCount val="8"/>
                <c:pt idx="0">
                  <c:v>kredītrisks</c:v>
                </c:pt>
                <c:pt idx="1">
                  <c:v>likviditāte</c:v>
                </c:pt>
                <c:pt idx="2">
                  <c:v>valūtas risks</c:v>
                </c:pt>
                <c:pt idx="3">
                  <c:v>kapitāla pietiekamība</c:v>
                </c:pt>
                <c:pt idx="4">
                  <c:v>ROE</c:v>
                </c:pt>
                <c:pt idx="5">
                  <c:v>ROA</c:v>
                </c:pt>
                <c:pt idx="6">
                  <c:v>Intelektuālais kapitāls</c:v>
                </c:pt>
                <c:pt idx="7">
                  <c:v>Zināšanu vadīšana</c:v>
                </c:pt>
              </c:strCache>
            </c:strRef>
          </c:cat>
          <c:val>
            <c:numRef>
              <c:f>Sheet7!$F$14:$F$21</c:f>
              <c:numCache>
                <c:formatCode>General</c:formatCode>
                <c:ptCount val="8"/>
                <c:pt idx="0">
                  <c:v>9.33</c:v>
                </c:pt>
                <c:pt idx="1">
                  <c:v>57.34</c:v>
                </c:pt>
                <c:pt idx="2">
                  <c:v>10</c:v>
                </c:pt>
                <c:pt idx="3">
                  <c:v>12.65</c:v>
                </c:pt>
                <c:pt idx="4">
                  <c:v>0.13</c:v>
                </c:pt>
                <c:pt idx="5">
                  <c:v>-0.12000000000000002</c:v>
                </c:pt>
                <c:pt idx="6">
                  <c:v>50</c:v>
                </c:pt>
                <c:pt idx="7">
                  <c:v>45</c:v>
                </c:pt>
              </c:numCache>
            </c:numRef>
          </c:val>
        </c:ser>
        <c:ser>
          <c:idx val="5"/>
          <c:order val="5"/>
          <c:tx>
            <c:strRef>
              <c:f>Sheet7!$G$13</c:f>
              <c:strCache>
                <c:ptCount val="1"/>
                <c:pt idx="0">
                  <c:v>banka 6</c:v>
                </c:pt>
              </c:strCache>
            </c:strRef>
          </c:tx>
          <c:cat>
            <c:strRef>
              <c:f>Sheet7!$A$14:$A$21</c:f>
              <c:strCache>
                <c:ptCount val="8"/>
                <c:pt idx="0">
                  <c:v>kredītrisks</c:v>
                </c:pt>
                <c:pt idx="1">
                  <c:v>likviditāte</c:v>
                </c:pt>
                <c:pt idx="2">
                  <c:v>valūtas risks</c:v>
                </c:pt>
                <c:pt idx="3">
                  <c:v>kapitāla pietiekamība</c:v>
                </c:pt>
                <c:pt idx="4">
                  <c:v>ROE</c:v>
                </c:pt>
                <c:pt idx="5">
                  <c:v>ROA</c:v>
                </c:pt>
                <c:pt idx="6">
                  <c:v>Intelektuālais kapitāls</c:v>
                </c:pt>
                <c:pt idx="7">
                  <c:v>Zināšanu vadīšana</c:v>
                </c:pt>
              </c:strCache>
            </c:strRef>
          </c:cat>
          <c:val>
            <c:numRef>
              <c:f>Sheet7!$G$14:$G$21</c:f>
              <c:numCache>
                <c:formatCode>General</c:formatCode>
                <c:ptCount val="8"/>
                <c:pt idx="0">
                  <c:v>7.44</c:v>
                </c:pt>
                <c:pt idx="1">
                  <c:v>34.65</c:v>
                </c:pt>
                <c:pt idx="2">
                  <c:v>10</c:v>
                </c:pt>
                <c:pt idx="3" formatCode="dd/mmm">
                  <c:v>14.21</c:v>
                </c:pt>
                <c:pt idx="4">
                  <c:v>-8.120000000000001</c:v>
                </c:pt>
                <c:pt idx="5">
                  <c:v>-1.03</c:v>
                </c:pt>
                <c:pt idx="6">
                  <c:v>55</c:v>
                </c:pt>
                <c:pt idx="7">
                  <c:v>50</c:v>
                </c:pt>
              </c:numCache>
            </c:numRef>
          </c:val>
        </c:ser>
        <c:gapWidth val="300"/>
        <c:axId val="151640320"/>
        <c:axId val="153096576"/>
      </c:barChart>
      <c:catAx>
        <c:axId val="151640320"/>
        <c:scaling>
          <c:orientation val="minMax"/>
        </c:scaling>
        <c:axPos val="b"/>
        <c:title>
          <c:tx>
            <c:rich>
              <a:bodyPr/>
              <a:lstStyle/>
              <a:p>
                <a:pPr>
                  <a:defRPr/>
                </a:pPr>
                <a:r>
                  <a:rPr lang="en-US"/>
                  <a:t>finanšu, intelektuālā kapitāla un zināšanu vadīšanas rādītāji</a:t>
                </a:r>
              </a:p>
            </c:rich>
          </c:tx>
        </c:title>
        <c:majorTickMark val="none"/>
        <c:tickLblPos val="nextTo"/>
        <c:crossAx val="153096576"/>
        <c:crosses val="autoZero"/>
        <c:lblAlgn val="ctr"/>
        <c:lblOffset val="100"/>
      </c:catAx>
      <c:valAx>
        <c:axId val="153096576"/>
        <c:scaling>
          <c:orientation val="minMax"/>
        </c:scaling>
        <c:axPos val="l"/>
        <c:majorGridlines/>
        <c:minorGridlines/>
        <c:title>
          <c:tx>
            <c:rich>
              <a:bodyPr/>
              <a:lstStyle/>
              <a:p>
                <a:pPr>
                  <a:defRPr/>
                </a:pPr>
                <a:r>
                  <a:rPr lang="en-US"/>
                  <a:t>koeficients</a:t>
                </a:r>
              </a:p>
            </c:rich>
          </c:tx>
        </c:title>
        <c:numFmt formatCode="General" sourceLinked="1"/>
        <c:tickLblPos val="nextTo"/>
        <c:crossAx val="151640320"/>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21671</Words>
  <Characters>12353</Characters>
  <Application>Microsoft Office Word</Application>
  <DocSecurity>0</DocSecurity>
  <Lines>102</Lines>
  <Paragraphs>67</Paragraphs>
  <ScaleCrop>false</ScaleCrop>
  <HeadingPairs>
    <vt:vector size="2" baseType="variant">
      <vt:variant>
        <vt:lpstr>Title</vt:lpstr>
      </vt:variant>
      <vt:variant>
        <vt:i4>1</vt:i4>
      </vt:variant>
    </vt:vector>
  </HeadingPairs>
  <TitlesOfParts>
    <vt:vector size="1" baseType="lpstr">
      <vt:lpstr>Needs for knowledge management in Commercial banks</vt:lpstr>
    </vt:vector>
  </TitlesOfParts>
  <Company/>
  <LinksUpToDate>false</LinksUpToDate>
  <CharactersWithSpaces>33957</CharactersWithSpaces>
  <SharedDoc>false</SharedDoc>
  <HLinks>
    <vt:vector size="24" baseType="variant">
      <vt:variant>
        <vt:i4>1441889</vt:i4>
      </vt:variant>
      <vt:variant>
        <vt:i4>9</vt:i4>
      </vt:variant>
      <vt:variant>
        <vt:i4>0</vt:i4>
      </vt:variant>
      <vt:variant>
        <vt:i4>5</vt:i4>
      </vt:variant>
      <vt:variant>
        <vt:lpwstr>mailto:Natalja.Lace@rtu.lv</vt:lpwstr>
      </vt:variant>
      <vt:variant>
        <vt:lpwstr/>
      </vt:variant>
      <vt:variant>
        <vt:i4>3211385</vt:i4>
      </vt:variant>
      <vt:variant>
        <vt:i4>6</vt:i4>
      </vt:variant>
      <vt:variant>
        <vt:i4>0</vt:i4>
      </vt:variant>
      <vt:variant>
        <vt:i4>5</vt:i4>
      </vt:variant>
      <vt:variant>
        <vt:lpwstr>http://www.pwc.com/lv/lv/news/istermina-taktika-banku-sektors.jhtml</vt:lpwstr>
      </vt:variant>
      <vt:variant>
        <vt:lpwstr/>
      </vt:variant>
      <vt:variant>
        <vt:i4>3080224</vt:i4>
      </vt:variant>
      <vt:variant>
        <vt:i4>3</vt:i4>
      </vt:variant>
      <vt:variant>
        <vt:i4>0</vt:i4>
      </vt:variant>
      <vt:variant>
        <vt:i4>5</vt:i4>
      </vt:variant>
      <vt:variant>
        <vt:lpwstr>http://www.bank.lv/lat/main/all/sapinfo/presrunas/lta/</vt:lpwstr>
      </vt:variant>
      <vt:variant>
        <vt:lpwstr/>
      </vt:variant>
      <vt:variant>
        <vt:i4>6225975</vt:i4>
      </vt:variant>
      <vt:variant>
        <vt:i4>0</vt:i4>
      </vt:variant>
      <vt:variant>
        <vt:i4>0</vt:i4>
      </vt:variant>
      <vt:variant>
        <vt:i4>5</vt:i4>
      </vt:variant>
      <vt:variant>
        <vt:lpwstr>http://fktk.lv/lv/statistika/kreditiestades/ceturksna_parskati/2010-08-09_banku_darbiba_latvija_20/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Needs for knowledge management in Commercial banks</dc:title>
  <dc:creator>Ingars</dc:creator>
  <cp:lastModifiedBy>Ingars</cp:lastModifiedBy>
  <cp:revision>5</cp:revision>
  <cp:lastPrinted>2010-09-30T09:57:00Z</cp:lastPrinted>
  <dcterms:created xsi:type="dcterms:W3CDTF">2011-01-05T15:54:00Z</dcterms:created>
  <dcterms:modified xsi:type="dcterms:W3CDTF">2011-01-08T12:42:00Z</dcterms:modified>
</cp:coreProperties>
</file>