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590" w:rsidRDefault="001B7590" w:rsidP="001B7590">
      <w:pPr>
        <w:spacing w:after="0" w:line="360" w:lineRule="auto"/>
        <w:ind w:left="454" w:right="794"/>
        <w:rPr>
          <w:rFonts w:ascii="Times New Roman CYR" w:hAnsi="Times New Roman CYR" w:cs="Times New Roman CYR"/>
          <w:sz w:val="24"/>
          <w:szCs w:val="24"/>
        </w:rPr>
      </w:pPr>
      <w:r>
        <w:rPr>
          <w:rFonts w:ascii="Times New Roman CYR" w:hAnsi="Times New Roman CYR" w:cs="Times New Roman CYR"/>
          <w:sz w:val="24"/>
          <w:szCs w:val="24"/>
        </w:rPr>
        <w:t>S.Jansone, M.Šenfelde</w:t>
      </w:r>
    </w:p>
    <w:p w:rsidR="00F26330" w:rsidRDefault="00F26330" w:rsidP="001B7590">
      <w:pPr>
        <w:spacing w:after="0" w:line="360" w:lineRule="auto"/>
        <w:ind w:left="454" w:right="794"/>
        <w:jc w:val="center"/>
        <w:rPr>
          <w:rFonts w:ascii="Times New Roman CYR" w:hAnsi="Times New Roman CYR" w:cs="Times New Roman CYR"/>
          <w:b/>
          <w:sz w:val="28"/>
          <w:szCs w:val="28"/>
        </w:rPr>
      </w:pPr>
    </w:p>
    <w:p w:rsidR="005264C9" w:rsidRDefault="001B7590" w:rsidP="001B7590">
      <w:pPr>
        <w:spacing w:after="0" w:line="360" w:lineRule="auto"/>
        <w:ind w:left="454" w:right="794"/>
        <w:jc w:val="center"/>
        <w:rPr>
          <w:rFonts w:ascii="Times New Roman CYR" w:hAnsi="Times New Roman CYR" w:cs="Times New Roman CYR"/>
          <w:b/>
          <w:sz w:val="28"/>
          <w:szCs w:val="28"/>
        </w:rPr>
      </w:pPr>
      <w:r>
        <w:rPr>
          <w:rFonts w:ascii="Times New Roman CYR" w:hAnsi="Times New Roman CYR" w:cs="Times New Roman CYR"/>
          <w:b/>
          <w:sz w:val="28"/>
          <w:szCs w:val="28"/>
        </w:rPr>
        <w:t xml:space="preserve">Latvijas pašvaldību finanšu izlīdzināšanas sistēmas </w:t>
      </w:r>
    </w:p>
    <w:p w:rsidR="001B7590" w:rsidRDefault="005264C9" w:rsidP="001B7590">
      <w:pPr>
        <w:spacing w:after="0" w:line="360" w:lineRule="auto"/>
        <w:ind w:left="454" w:right="794"/>
        <w:jc w:val="center"/>
        <w:rPr>
          <w:rFonts w:ascii="Times New Roman CYR" w:hAnsi="Times New Roman CYR" w:cs="Times New Roman CYR"/>
          <w:b/>
          <w:sz w:val="28"/>
          <w:szCs w:val="28"/>
        </w:rPr>
      </w:pPr>
      <w:r>
        <w:rPr>
          <w:rFonts w:ascii="Times New Roman CYR" w:hAnsi="Times New Roman CYR" w:cs="Times New Roman CYR"/>
          <w:b/>
          <w:sz w:val="28"/>
          <w:szCs w:val="28"/>
        </w:rPr>
        <w:t>pilnveidošanas iespējamie risinājumi</w:t>
      </w:r>
    </w:p>
    <w:p w:rsidR="00F26330" w:rsidRDefault="00F26330" w:rsidP="001B7590">
      <w:pPr>
        <w:spacing w:after="0" w:line="360" w:lineRule="auto"/>
        <w:ind w:left="454" w:right="794"/>
        <w:jc w:val="center"/>
        <w:rPr>
          <w:rFonts w:ascii="Times New Roman CYR" w:hAnsi="Times New Roman CYR" w:cs="Times New Roman CYR"/>
          <w:b/>
          <w:sz w:val="24"/>
          <w:szCs w:val="24"/>
        </w:rPr>
      </w:pPr>
    </w:p>
    <w:p w:rsidR="001B7590" w:rsidRDefault="001B7590" w:rsidP="001B7590">
      <w:pPr>
        <w:spacing w:after="0" w:line="360" w:lineRule="auto"/>
        <w:ind w:left="454" w:right="794"/>
        <w:jc w:val="center"/>
        <w:rPr>
          <w:rFonts w:ascii="Times New Roman CYR" w:hAnsi="Times New Roman CYR" w:cs="Times New Roman CYR"/>
          <w:b/>
          <w:sz w:val="24"/>
          <w:szCs w:val="24"/>
        </w:rPr>
      </w:pPr>
      <w:r>
        <w:rPr>
          <w:rFonts w:ascii="Times New Roman CYR" w:hAnsi="Times New Roman CYR" w:cs="Times New Roman CYR"/>
          <w:b/>
          <w:sz w:val="24"/>
          <w:szCs w:val="24"/>
        </w:rPr>
        <w:t xml:space="preserve">Anotācija </w:t>
      </w:r>
    </w:p>
    <w:p w:rsidR="00AD29E7" w:rsidRDefault="00AD29E7" w:rsidP="001B7590">
      <w:pPr>
        <w:spacing w:after="0" w:line="360" w:lineRule="auto"/>
        <w:ind w:left="454" w:right="794"/>
        <w:jc w:val="center"/>
        <w:rPr>
          <w:rFonts w:ascii="Times New Roman CYR" w:hAnsi="Times New Roman CYR" w:cs="Times New Roman CYR"/>
          <w:b/>
          <w:sz w:val="24"/>
          <w:szCs w:val="24"/>
        </w:rPr>
      </w:pPr>
    </w:p>
    <w:p w:rsidR="00AD29E7" w:rsidRDefault="00AD29E7" w:rsidP="00AD29E7">
      <w:pPr>
        <w:spacing w:after="0" w:line="360" w:lineRule="auto"/>
        <w:ind w:left="454" w:right="794" w:firstLine="266"/>
        <w:jc w:val="both"/>
        <w:rPr>
          <w:rFonts w:ascii="Times New Roman CYR" w:hAnsi="Times New Roman CYR" w:cs="Times New Roman CYR"/>
          <w:sz w:val="24"/>
          <w:szCs w:val="24"/>
        </w:rPr>
      </w:pPr>
      <w:r w:rsidRPr="00AD29E7">
        <w:rPr>
          <w:rFonts w:ascii="Times New Roman CYR" w:hAnsi="Times New Roman CYR" w:cs="Times New Roman CYR"/>
          <w:sz w:val="24"/>
          <w:szCs w:val="24"/>
        </w:rPr>
        <w:t>Saskaņā ar Administratīvo teritoriju un apdzīvoto vietu likumu, no 03.01.2011. Latvijā darbojas 119 pašvaldības – 110 novadi un 9 republikas pilsētas (Rīga, Jūrmala, Valmiera, Liepāja, Ventspils, Rēzekne, Daugavpils, Jēkabpils un Jelgava).</w:t>
      </w:r>
    </w:p>
    <w:p w:rsidR="00BF2690" w:rsidRDefault="00BF2690" w:rsidP="00AD29E7">
      <w:pPr>
        <w:spacing w:after="0" w:line="360" w:lineRule="auto"/>
        <w:ind w:left="454" w:right="794" w:firstLine="266"/>
        <w:jc w:val="both"/>
        <w:rPr>
          <w:rFonts w:ascii="Times New Roman CYR" w:hAnsi="Times New Roman CYR" w:cs="Times New Roman CYR"/>
          <w:sz w:val="24"/>
          <w:szCs w:val="24"/>
        </w:rPr>
      </w:pPr>
      <w:r>
        <w:rPr>
          <w:rFonts w:ascii="Times New Roman CYR" w:hAnsi="Times New Roman CYR" w:cs="Times New Roman CYR"/>
          <w:sz w:val="24"/>
          <w:szCs w:val="24"/>
        </w:rPr>
        <w:t>Arī pēc administratīvi teritoriālās reformas starp pašvaldībām pastav ievērojamas nodokļu ieņēmumu atšķirības, tādēļ ir pamatota finanšu izlīdzināšanas sistēmas nepieciešamība.</w:t>
      </w:r>
    </w:p>
    <w:p w:rsidR="00BF2690" w:rsidRDefault="00BF2690" w:rsidP="00AD29E7">
      <w:pPr>
        <w:spacing w:after="0" w:line="360" w:lineRule="auto"/>
        <w:ind w:left="454" w:right="794" w:firstLine="266"/>
        <w:jc w:val="both"/>
        <w:rPr>
          <w:rFonts w:ascii="Times New Roman CYR" w:hAnsi="Times New Roman CYR" w:cs="Times New Roman CYR"/>
          <w:sz w:val="24"/>
          <w:szCs w:val="24"/>
        </w:rPr>
      </w:pPr>
      <w:r>
        <w:rPr>
          <w:rFonts w:ascii="Times New Roman CYR" w:hAnsi="Times New Roman CYR" w:cs="Times New Roman CYR"/>
          <w:sz w:val="24"/>
          <w:szCs w:val="24"/>
        </w:rPr>
        <w:t xml:space="preserve">Pilnveidojot un uzlabojot finanšu izlīdzināšanas sistēmu, tiek ņemta vērā un respektēta esošā pašvaldību izlīdzināšanas pierdze, analizēta un apkopota ārvalstu pieredze </w:t>
      </w:r>
      <w:r w:rsidR="00D91C59">
        <w:rPr>
          <w:rFonts w:ascii="Times New Roman CYR" w:hAnsi="Times New Roman CYR" w:cs="Times New Roman CYR"/>
          <w:sz w:val="24"/>
          <w:szCs w:val="24"/>
        </w:rPr>
        <w:t xml:space="preserve">pašvaldību </w:t>
      </w:r>
      <w:r>
        <w:rPr>
          <w:rFonts w:ascii="Times New Roman CYR" w:hAnsi="Times New Roman CYR" w:cs="Times New Roman CYR"/>
          <w:sz w:val="24"/>
          <w:szCs w:val="24"/>
        </w:rPr>
        <w:t xml:space="preserve">finanšu izlīdzināšanas jautājumos, kā </w:t>
      </w:r>
      <w:r w:rsidR="00D91C59">
        <w:rPr>
          <w:rFonts w:ascii="Times New Roman CYR" w:hAnsi="Times New Roman CYR" w:cs="Times New Roman CYR"/>
          <w:sz w:val="24"/>
          <w:szCs w:val="24"/>
        </w:rPr>
        <w:t xml:space="preserve">rezultātā </w:t>
      </w:r>
      <w:r>
        <w:rPr>
          <w:rFonts w:ascii="Times New Roman CYR" w:hAnsi="Times New Roman CYR" w:cs="Times New Roman CYR"/>
          <w:sz w:val="24"/>
          <w:szCs w:val="24"/>
        </w:rPr>
        <w:t xml:space="preserve">tiek piedāvāti jauni un drosmīgi minētās sistēmas uzlabošanas risinājumi, </w:t>
      </w:r>
      <w:r w:rsidR="00D91C59">
        <w:rPr>
          <w:rFonts w:ascii="Times New Roman CYR" w:hAnsi="Times New Roman CYR" w:cs="Times New Roman CYR"/>
          <w:sz w:val="24"/>
          <w:szCs w:val="24"/>
        </w:rPr>
        <w:t xml:space="preserve">proti – trīs pašvaldību finanšu izlīdzināšanas sistēmas modeļi ar dažādiem aprēķinu algoritmiem, </w:t>
      </w:r>
      <w:r>
        <w:rPr>
          <w:rFonts w:ascii="Times New Roman CYR" w:hAnsi="Times New Roman CYR" w:cs="Times New Roman CYR"/>
          <w:sz w:val="24"/>
          <w:szCs w:val="24"/>
        </w:rPr>
        <w:t>kas nākotnē prasa rūpīgu izpēti.</w:t>
      </w:r>
    </w:p>
    <w:p w:rsidR="00D91C59" w:rsidRDefault="00D91C59" w:rsidP="00D91C59">
      <w:pPr>
        <w:pStyle w:val="ListParagraph"/>
        <w:numPr>
          <w:ilvl w:val="0"/>
          <w:numId w:val="2"/>
        </w:numPr>
        <w:spacing w:after="0" w:line="360" w:lineRule="auto"/>
        <w:ind w:right="794"/>
        <w:jc w:val="both"/>
        <w:rPr>
          <w:rFonts w:ascii="Times New Roman CYR" w:hAnsi="Times New Roman CYR" w:cs="Times New Roman CYR"/>
          <w:sz w:val="24"/>
          <w:szCs w:val="24"/>
        </w:rPr>
      </w:pPr>
      <w:r>
        <w:rPr>
          <w:rFonts w:ascii="Times New Roman CYR" w:hAnsi="Times New Roman CYR" w:cs="Times New Roman CYR"/>
          <w:sz w:val="24"/>
          <w:szCs w:val="24"/>
        </w:rPr>
        <w:t>Algoritms pielabotai esošai sistēmai</w:t>
      </w:r>
      <w:r w:rsidR="00E163C4">
        <w:rPr>
          <w:rFonts w:ascii="Times New Roman CYR" w:hAnsi="Times New Roman CYR" w:cs="Times New Roman CYR"/>
          <w:sz w:val="24"/>
          <w:szCs w:val="24"/>
        </w:rPr>
        <w:t xml:space="preserve"> – lai arī turpmāk izmantotu kopš 1998.gada lietoto izlīdzināšanas aprēķinu algoritmu, ir nepieciešami daži labojumi, lai sistēmu piemērotu situācijai pēc administratīvi teritoriālās refomas, kā arī ir jānovērš sistēmas deformāciju attiecībā uz diviem nosacīti objektīviem kritērijiem., uz pārējo kritēriju īpatsvariem un pašvaldību grupējumu.</w:t>
      </w:r>
    </w:p>
    <w:p w:rsidR="00E163C4" w:rsidRDefault="00E163C4" w:rsidP="00D91C59">
      <w:pPr>
        <w:pStyle w:val="ListParagraph"/>
        <w:numPr>
          <w:ilvl w:val="0"/>
          <w:numId w:val="2"/>
        </w:numPr>
        <w:spacing w:after="0" w:line="360" w:lineRule="auto"/>
        <w:ind w:right="794"/>
        <w:jc w:val="both"/>
        <w:rPr>
          <w:rFonts w:ascii="Times New Roman CYR" w:hAnsi="Times New Roman CYR" w:cs="Times New Roman CYR"/>
          <w:sz w:val="24"/>
          <w:szCs w:val="24"/>
        </w:rPr>
      </w:pPr>
      <w:r>
        <w:rPr>
          <w:rFonts w:ascii="Times New Roman CYR" w:hAnsi="Times New Roman CYR" w:cs="Times New Roman CYR"/>
          <w:sz w:val="24"/>
          <w:szCs w:val="24"/>
        </w:rPr>
        <w:t xml:space="preserve">Algoritms jaunam modelim ar esošās sistēmas iezīmēm </w:t>
      </w:r>
      <w:r w:rsidR="00AE431C">
        <w:rPr>
          <w:rFonts w:ascii="Times New Roman CYR" w:hAnsi="Times New Roman CYR" w:cs="Times New Roman CYR"/>
          <w:sz w:val="24"/>
          <w:szCs w:val="24"/>
        </w:rPr>
        <w:t>–</w:t>
      </w:r>
      <w:r>
        <w:rPr>
          <w:rFonts w:ascii="Times New Roman CYR" w:hAnsi="Times New Roman CYR" w:cs="Times New Roman CYR"/>
          <w:sz w:val="24"/>
          <w:szCs w:val="24"/>
        </w:rPr>
        <w:t xml:space="preserve"> </w:t>
      </w:r>
      <w:r w:rsidR="00AE431C">
        <w:rPr>
          <w:rFonts w:ascii="Times New Roman CYR" w:hAnsi="Times New Roman CYR" w:cs="Times New Roman CYR"/>
          <w:sz w:val="24"/>
          <w:szCs w:val="24"/>
        </w:rPr>
        <w:t>tāpat kā esošajā pašvaldību finanšu izlīdzinšasnas sistēmā tiek izlīdzināti ieņēmumi un izdevumi, taču jaunajā aprēķinu algoritmā nav iekļauta pretrunīgā kopējā finanšu nepieciešamība, kas ir vispusīgs pašvaldību ieņēmumu, izdevumu un kompetences analīzes rezultāts.</w:t>
      </w:r>
    </w:p>
    <w:p w:rsidR="00AE431C" w:rsidRPr="00D91C59" w:rsidRDefault="00AE431C" w:rsidP="00D91C59">
      <w:pPr>
        <w:pStyle w:val="ListParagraph"/>
        <w:numPr>
          <w:ilvl w:val="0"/>
          <w:numId w:val="2"/>
        </w:numPr>
        <w:spacing w:after="0" w:line="360" w:lineRule="auto"/>
        <w:ind w:right="794"/>
        <w:jc w:val="both"/>
        <w:rPr>
          <w:rFonts w:ascii="Times New Roman CYR" w:hAnsi="Times New Roman CYR" w:cs="Times New Roman CYR"/>
          <w:sz w:val="24"/>
          <w:szCs w:val="24"/>
        </w:rPr>
      </w:pPr>
      <w:r>
        <w:rPr>
          <w:rFonts w:ascii="Times New Roman CYR" w:hAnsi="Times New Roman CYR" w:cs="Times New Roman CYR"/>
          <w:sz w:val="24"/>
          <w:szCs w:val="24"/>
        </w:rPr>
        <w:t>Radikāli jauns aprēķinu algoritms – modeļa būtība ir mainīta iedzīvotāju ienākuma nodokļa sad</w:t>
      </w:r>
      <w:r w:rsidR="00D8557D">
        <w:rPr>
          <w:rFonts w:ascii="Times New Roman CYR" w:hAnsi="Times New Roman CYR" w:cs="Times New Roman CYR"/>
          <w:sz w:val="24"/>
          <w:szCs w:val="24"/>
        </w:rPr>
        <w:t>ales kārtī</w:t>
      </w:r>
      <w:r>
        <w:rPr>
          <w:rFonts w:ascii="Times New Roman CYR" w:hAnsi="Times New Roman CYR" w:cs="Times New Roman CYR"/>
          <w:sz w:val="24"/>
          <w:szCs w:val="24"/>
        </w:rPr>
        <w:t>ba starp pašvaldībām, kā rezultātā neveidojas pašvaldību finanšu izlīdzināšanas fonds ar pašvaldību iemaksām.</w:t>
      </w:r>
      <w:r w:rsidR="00D8557D">
        <w:rPr>
          <w:rFonts w:ascii="Times New Roman CYR" w:hAnsi="Times New Roman CYR" w:cs="Times New Roman CYR"/>
          <w:sz w:val="24"/>
          <w:szCs w:val="24"/>
        </w:rPr>
        <w:t xml:space="preserve"> Daļu no pašvaldībām pierītošā iedzīvotāju ienākuma nodokļa ieņēmumiem sadala kā šobrīd - pēc nodokļa bāzes, bet otru daļu tikai pēc iedzīvotāju skaita. Valsts budžeta dotācijas mērķis būtu otrās pakāpes izlīdzināšana – papildus dotācija tām pašvaldībām, kuru iedzīvotāju ienākuma nodokļa ieņēmumi ir ievērojami mazāki par vidējiem valstī. </w:t>
      </w:r>
      <w:r w:rsidR="00F26330">
        <w:rPr>
          <w:rFonts w:ascii="Times New Roman CYR" w:hAnsi="Times New Roman CYR" w:cs="Times New Roman CYR"/>
          <w:sz w:val="24"/>
          <w:szCs w:val="24"/>
        </w:rPr>
        <w:t>Ja izlīdzināšanas sistēmā iekļauj nekustamā īpašuma nodokli, tad tam ir nepieciešams atsevišķs izlīdzināšanas algoritms, kas sistēmu sarežģī, līdz ar to ir pretrunā ar galveno pašvaldības finanšu izlīdzināšanas sistēmas principu – būt vienkāršai, izprotamai un caurskatāmai. Kā lielāko šī modeļa trūkumu var minēt tā jūtīgumu pret iedzīvotāju ienākuma nodokļa likmes izmaiņām.</w:t>
      </w:r>
    </w:p>
    <w:p w:rsidR="00AD29E7" w:rsidRDefault="00AD29E7" w:rsidP="001B7590">
      <w:pPr>
        <w:spacing w:after="0" w:line="360" w:lineRule="auto"/>
        <w:ind w:left="454" w:right="794"/>
        <w:jc w:val="center"/>
        <w:rPr>
          <w:rFonts w:ascii="Times New Roman CYR" w:hAnsi="Times New Roman CYR" w:cs="Times New Roman CYR"/>
          <w:b/>
          <w:sz w:val="24"/>
          <w:szCs w:val="24"/>
        </w:rPr>
      </w:pPr>
    </w:p>
    <w:p w:rsidR="00AD29E7" w:rsidRDefault="00AD29E7" w:rsidP="001B7590">
      <w:pPr>
        <w:spacing w:after="0" w:line="360" w:lineRule="auto"/>
        <w:ind w:left="454" w:right="794"/>
        <w:jc w:val="center"/>
        <w:rPr>
          <w:rFonts w:ascii="Times New Roman CYR" w:hAnsi="Times New Roman CYR" w:cs="Times New Roman CYR"/>
          <w:b/>
          <w:sz w:val="24"/>
          <w:szCs w:val="24"/>
        </w:rPr>
      </w:pPr>
    </w:p>
    <w:p w:rsidR="001B7590" w:rsidRDefault="001B7590" w:rsidP="001B7590">
      <w:pPr>
        <w:widowControl w:val="0"/>
        <w:autoSpaceDE w:val="0"/>
        <w:autoSpaceDN w:val="0"/>
        <w:adjustRightInd w:val="0"/>
        <w:spacing w:after="0" w:line="240" w:lineRule="auto"/>
        <w:jc w:val="center"/>
        <w:rPr>
          <w:rFonts w:ascii="Times New Roman CYR" w:hAnsi="Times New Roman CYR" w:cs="Times New Roman CYR"/>
          <w:b/>
          <w:bCs/>
          <w:color w:val="000000"/>
          <w:sz w:val="24"/>
          <w:szCs w:val="24"/>
        </w:rPr>
      </w:pPr>
      <w:r>
        <w:rPr>
          <w:rFonts w:ascii="Times New Roman CYR" w:hAnsi="Times New Roman CYR" w:cs="Times New Roman CYR"/>
          <w:b/>
          <w:bCs/>
          <w:color w:val="000000"/>
          <w:sz w:val="24"/>
          <w:szCs w:val="24"/>
        </w:rPr>
        <w:t>5</w:t>
      </w:r>
      <w:r w:rsidR="005264C9">
        <w:rPr>
          <w:rFonts w:ascii="Times New Roman CYR" w:hAnsi="Times New Roman CYR" w:cs="Times New Roman CYR"/>
          <w:b/>
          <w:bCs/>
          <w:color w:val="000000"/>
          <w:sz w:val="24"/>
          <w:szCs w:val="24"/>
        </w:rPr>
        <w:t>2</w:t>
      </w:r>
      <w:r>
        <w:rPr>
          <w:rFonts w:ascii="Times New Roman CYR" w:hAnsi="Times New Roman CYR" w:cs="Times New Roman CYR"/>
          <w:b/>
          <w:bCs/>
          <w:color w:val="000000"/>
          <w:sz w:val="24"/>
          <w:szCs w:val="24"/>
        </w:rPr>
        <w:t>. R</w:t>
      </w:r>
      <w:r>
        <w:rPr>
          <w:rFonts w:ascii="Times New Roman" w:hAnsi="Times New Roman"/>
          <w:b/>
          <w:bCs/>
          <w:color w:val="000000"/>
          <w:sz w:val="24"/>
          <w:szCs w:val="24"/>
        </w:rPr>
        <w:t>īgas Tehniskās universitātes konference SCEE’</w:t>
      </w:r>
      <w:r>
        <w:rPr>
          <w:rFonts w:ascii="Times New Roman CYR" w:hAnsi="Times New Roman CYR" w:cs="Times New Roman CYR"/>
          <w:b/>
          <w:bCs/>
          <w:color w:val="000000"/>
          <w:sz w:val="24"/>
          <w:szCs w:val="24"/>
        </w:rPr>
        <w:t xml:space="preserve">2010 </w:t>
      </w:r>
    </w:p>
    <w:p w:rsidR="001B7590" w:rsidRDefault="001B7590" w:rsidP="001B7590">
      <w:pPr>
        <w:widowControl w:val="0"/>
        <w:autoSpaceDE w:val="0"/>
        <w:autoSpaceDN w:val="0"/>
        <w:adjustRightInd w:val="0"/>
        <w:spacing w:after="0" w:line="240" w:lineRule="auto"/>
        <w:jc w:val="center"/>
        <w:rPr>
          <w:rFonts w:ascii="Times New Roman CYR" w:hAnsi="Times New Roman CYR" w:cs="Times New Roman CYR"/>
          <w:b/>
          <w:bCs/>
          <w:i/>
          <w:iCs/>
          <w:color w:val="000000"/>
          <w:sz w:val="24"/>
          <w:szCs w:val="24"/>
        </w:rPr>
      </w:pPr>
      <w:r>
        <w:rPr>
          <w:rFonts w:ascii="Times New Roman CYR" w:hAnsi="Times New Roman CYR" w:cs="Times New Roman CYR"/>
          <w:b/>
          <w:bCs/>
          <w:i/>
          <w:iCs/>
          <w:color w:val="000000"/>
          <w:sz w:val="24"/>
          <w:szCs w:val="24"/>
        </w:rPr>
        <w:t>“Scientific Conference on Economics and Entrepreneurship”</w:t>
      </w:r>
    </w:p>
    <w:p w:rsidR="001B7590" w:rsidRDefault="001B7590" w:rsidP="001B759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R</w:t>
      </w:r>
      <w:r>
        <w:rPr>
          <w:rFonts w:ascii="Times New Roman" w:hAnsi="Times New Roman"/>
          <w:b/>
          <w:bCs/>
          <w:sz w:val="28"/>
          <w:szCs w:val="28"/>
        </w:rPr>
        <w:t xml:space="preserve">īga, </w:t>
      </w:r>
      <w:r>
        <w:rPr>
          <w:rFonts w:ascii="Times New Roman CYR" w:hAnsi="Times New Roman CYR" w:cs="Times New Roman CYR"/>
          <w:b/>
          <w:bCs/>
          <w:sz w:val="28"/>
          <w:szCs w:val="28"/>
        </w:rPr>
        <w:t>201</w:t>
      </w:r>
      <w:r w:rsidR="004B62B9">
        <w:rPr>
          <w:rFonts w:ascii="Times New Roman CYR" w:hAnsi="Times New Roman CYR" w:cs="Times New Roman CYR"/>
          <w:b/>
          <w:bCs/>
          <w:sz w:val="28"/>
          <w:szCs w:val="28"/>
        </w:rPr>
        <w:t>1</w:t>
      </w:r>
      <w:bookmarkStart w:id="0" w:name="_GoBack"/>
      <w:bookmarkEnd w:id="0"/>
      <w:r>
        <w:rPr>
          <w:rFonts w:ascii="Times New Roman CYR" w:hAnsi="Times New Roman CYR" w:cs="Times New Roman CYR"/>
          <w:b/>
          <w:bCs/>
          <w:sz w:val="28"/>
          <w:szCs w:val="28"/>
        </w:rPr>
        <w:t>.gada 15. oktobris</w:t>
      </w:r>
    </w:p>
    <w:p w:rsidR="001B7590" w:rsidRDefault="001B7590" w:rsidP="001B7590">
      <w:pPr>
        <w:widowControl w:val="0"/>
        <w:tabs>
          <w:tab w:val="left" w:leader="underscore" w:pos="4253"/>
        </w:tabs>
        <w:autoSpaceDE w:val="0"/>
        <w:autoSpaceDN w:val="0"/>
        <w:adjustRightInd w:val="0"/>
        <w:spacing w:after="0" w:line="360" w:lineRule="auto"/>
        <w:jc w:val="center"/>
        <w:rPr>
          <w:rFonts w:ascii="Times New Roman CYR" w:hAnsi="Times New Roman CYR" w:cs="Times New Roman CYR"/>
          <w:b/>
          <w:bCs/>
          <w:sz w:val="24"/>
          <w:szCs w:val="24"/>
        </w:rPr>
      </w:pPr>
    </w:p>
    <w:p w:rsidR="001B7590" w:rsidRDefault="001B7590" w:rsidP="001B7590">
      <w:pPr>
        <w:widowControl w:val="0"/>
        <w:tabs>
          <w:tab w:val="left" w:leader="underscore" w:pos="4253"/>
        </w:tabs>
        <w:autoSpaceDE w:val="0"/>
        <w:autoSpaceDN w:val="0"/>
        <w:adjustRightInd w:val="0"/>
        <w:spacing w:after="0" w:line="36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Re</w:t>
      </w:r>
      <w:r>
        <w:rPr>
          <w:rFonts w:ascii="Times New Roman" w:hAnsi="Times New Roman"/>
          <w:b/>
          <w:bCs/>
          <w:sz w:val="24"/>
          <w:szCs w:val="24"/>
        </w:rPr>
        <w:t>ģistrācijas forma</w:t>
      </w:r>
    </w:p>
    <w:p w:rsidR="001B7590" w:rsidRDefault="001B7590" w:rsidP="001B7590">
      <w:pPr>
        <w:widowControl w:val="0"/>
        <w:tabs>
          <w:tab w:val="left" w:leader="underscore" w:pos="4253"/>
        </w:tabs>
        <w:autoSpaceDE w:val="0"/>
        <w:autoSpaceDN w:val="0"/>
        <w:adjustRightInd w:val="0"/>
        <w:spacing w:after="0" w:line="360" w:lineRule="auto"/>
        <w:rPr>
          <w:rFonts w:ascii="Times New Roman CYR" w:hAnsi="Times New Roman CYR" w:cs="Times New Roman CYR"/>
          <w:sz w:val="24"/>
          <w:szCs w:val="24"/>
        </w:rPr>
      </w:pPr>
    </w:p>
    <w:tbl>
      <w:tblPr>
        <w:tblW w:w="8925" w:type="dxa"/>
        <w:tblLayout w:type="fixed"/>
        <w:tblLook w:val="04A0"/>
      </w:tblPr>
      <w:tblGrid>
        <w:gridCol w:w="4067"/>
        <w:gridCol w:w="4858"/>
      </w:tblGrid>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V</w:t>
            </w:r>
            <w:r>
              <w:rPr>
                <w:rFonts w:ascii="Times New Roman" w:hAnsi="Times New Roman"/>
                <w:sz w:val="24"/>
                <w:szCs w:val="24"/>
              </w:rPr>
              <w:t xml:space="preserve">ārds </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b/>
                <w:sz w:val="24"/>
                <w:szCs w:val="24"/>
                <w:u w:val="single"/>
              </w:rPr>
            </w:pPr>
            <w:r>
              <w:rPr>
                <w:rFonts w:ascii="Times New Roman" w:hAnsi="Times New Roman"/>
                <w:b/>
                <w:sz w:val="24"/>
                <w:szCs w:val="24"/>
              </w:rPr>
              <w:t xml:space="preserve">Sandra </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Uzv</w:t>
            </w:r>
            <w:r>
              <w:rPr>
                <w:rFonts w:ascii="Times New Roman" w:hAnsi="Times New Roman"/>
                <w:sz w:val="24"/>
                <w:szCs w:val="24"/>
              </w:rPr>
              <w:t>ārds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b/>
                <w:sz w:val="24"/>
                <w:szCs w:val="24"/>
                <w:u w:val="single"/>
              </w:rPr>
            </w:pPr>
            <w:r>
              <w:rPr>
                <w:rFonts w:ascii="Times New Roman" w:hAnsi="Times New Roman"/>
                <w:b/>
                <w:sz w:val="24"/>
                <w:szCs w:val="24"/>
              </w:rPr>
              <w:t>Jansone</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Zin</w:t>
            </w:r>
            <w:r>
              <w:rPr>
                <w:rFonts w:ascii="Times New Roman" w:hAnsi="Times New Roman"/>
                <w:sz w:val="24"/>
                <w:szCs w:val="24"/>
              </w:rPr>
              <w:t>ātniskais grāds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CYR" w:hAnsi="Times New Roman CYR" w:cs="Times New Roman CYR"/>
                <w:sz w:val="24"/>
                <w:szCs w:val="24"/>
              </w:rPr>
              <w:t>Mg.oec.</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Amats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CYR" w:hAnsi="Times New Roman CYR" w:cs="Times New Roman CYR"/>
                <w:sz w:val="24"/>
                <w:szCs w:val="24"/>
              </w:rPr>
              <w:t>doktorante</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Valsts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w:hAnsi="Times New Roman"/>
                <w:sz w:val="24"/>
                <w:szCs w:val="24"/>
              </w:rPr>
              <w:t>Latvija</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Instit</w:t>
            </w:r>
            <w:r>
              <w:rPr>
                <w:rFonts w:ascii="Times New Roman" w:hAnsi="Times New Roman"/>
                <w:sz w:val="24"/>
                <w:szCs w:val="24"/>
              </w:rPr>
              <w:t>ūcija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Rīgas Tehniskā universitāte</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Pasta adrese</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CYR" w:hAnsi="Times New Roman CYR" w:cs="Times New Roman CYR"/>
                <w:sz w:val="24"/>
                <w:szCs w:val="24"/>
              </w:rPr>
              <w:t xml:space="preserve">Meža ielā 1/7 – 512, Rīga, LV-1048 </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p>
        </w:tc>
        <w:tc>
          <w:tcPr>
            <w:tcW w:w="4860" w:type="dxa"/>
            <w:tcBorders>
              <w:top w:val="single" w:sz="6" w:space="0" w:color="auto"/>
              <w:left w:val="single" w:sz="6" w:space="0" w:color="auto"/>
              <w:bottom w:val="single" w:sz="6" w:space="0" w:color="auto"/>
              <w:right w:val="single" w:sz="6" w:space="0" w:color="auto"/>
            </w:tcBorders>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p>
        </w:tc>
        <w:tc>
          <w:tcPr>
            <w:tcW w:w="4860" w:type="dxa"/>
            <w:tcBorders>
              <w:top w:val="single" w:sz="6" w:space="0" w:color="auto"/>
              <w:left w:val="single" w:sz="6" w:space="0" w:color="auto"/>
              <w:bottom w:val="single" w:sz="6" w:space="0" w:color="auto"/>
              <w:right w:val="single" w:sz="6" w:space="0" w:color="auto"/>
            </w:tcBorders>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p>
        </w:tc>
        <w:tc>
          <w:tcPr>
            <w:tcW w:w="4860" w:type="dxa"/>
            <w:tcBorders>
              <w:top w:val="single" w:sz="6" w:space="0" w:color="auto"/>
              <w:left w:val="single" w:sz="6" w:space="0" w:color="auto"/>
              <w:bottom w:val="single" w:sz="6" w:space="0" w:color="auto"/>
              <w:right w:val="single" w:sz="6" w:space="0" w:color="auto"/>
            </w:tcBorders>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T</w:t>
            </w:r>
            <w:r>
              <w:rPr>
                <w:rFonts w:ascii="Times New Roman" w:hAnsi="Times New Roman"/>
                <w:sz w:val="24"/>
                <w:szCs w:val="24"/>
              </w:rPr>
              <w:t>ālrunis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w:hAnsi="Times New Roman"/>
                <w:sz w:val="24"/>
                <w:szCs w:val="24"/>
              </w:rPr>
              <w:t>+371-26789037</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Fakss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+371-67012024</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E-pasts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w:hAnsi="Times New Roman"/>
                <w:sz w:val="24"/>
                <w:szCs w:val="24"/>
              </w:rPr>
              <w:t>Sandra.Jansone@riga.lv</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Raksta nosaukums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5264C9" w:rsidP="005264C9">
            <w:pPr>
              <w:spacing w:after="0" w:line="360" w:lineRule="auto"/>
              <w:ind w:left="454" w:right="794"/>
              <w:jc w:val="center"/>
              <w:rPr>
                <w:rFonts w:ascii="Times New Roman CYR" w:hAnsi="Times New Roman CYR" w:cs="Times New Roman CYR"/>
                <w:sz w:val="24"/>
                <w:szCs w:val="24"/>
              </w:rPr>
            </w:pPr>
            <w:r w:rsidRPr="005264C9">
              <w:rPr>
                <w:rFonts w:ascii="Times New Roman CYR" w:hAnsi="Times New Roman CYR" w:cs="Times New Roman CYR"/>
              </w:rPr>
              <w:t>Latvijas pašvaldību finanšu izlīdzināšanas sistēmas pilnveidošanas iespējamie risin</w:t>
            </w:r>
            <w:r>
              <w:rPr>
                <w:rFonts w:ascii="Times New Roman CYR" w:hAnsi="Times New Roman CYR" w:cs="Times New Roman CYR"/>
              </w:rPr>
              <w:t>ā</w:t>
            </w:r>
            <w:r w:rsidRPr="005264C9">
              <w:rPr>
                <w:rFonts w:ascii="Times New Roman CYR" w:hAnsi="Times New Roman CYR" w:cs="Times New Roman CYR"/>
              </w:rPr>
              <w:t>jumi</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Iebraukšana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Izbraukšana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Dal</w:t>
            </w:r>
            <w:r>
              <w:rPr>
                <w:rFonts w:ascii="Times New Roman" w:hAnsi="Times New Roman"/>
                <w:sz w:val="24"/>
                <w:szCs w:val="24"/>
              </w:rPr>
              <w:t>ība (</w:t>
            </w:r>
            <w:r>
              <w:rPr>
                <w:rFonts w:ascii="Times New Roman CYR" w:hAnsi="Times New Roman CYR" w:cs="Times New Roman CYR"/>
                <w:sz w:val="24"/>
                <w:szCs w:val="24"/>
                <w:u w:val="single"/>
              </w:rPr>
              <w:t>Akt</w:t>
            </w:r>
            <w:r>
              <w:rPr>
                <w:rFonts w:ascii="Times New Roman" w:hAnsi="Times New Roman"/>
                <w:sz w:val="24"/>
                <w:szCs w:val="24"/>
                <w:u w:val="single"/>
              </w:rPr>
              <w:t>īvi</w:t>
            </w:r>
            <w:r>
              <w:rPr>
                <w:rFonts w:ascii="Times New Roman CYR" w:hAnsi="Times New Roman CYR" w:cs="Times New Roman CYR"/>
                <w:sz w:val="24"/>
                <w:szCs w:val="24"/>
              </w:rPr>
              <w:t xml:space="preserve"> ar rakstiem un sekcij</w:t>
            </w:r>
            <w:r>
              <w:rPr>
                <w:rFonts w:ascii="Times New Roman" w:hAnsi="Times New Roman"/>
                <w:sz w:val="24"/>
                <w:szCs w:val="24"/>
              </w:rPr>
              <w:t xml:space="preserve">ās, </w:t>
            </w:r>
            <w:r>
              <w:rPr>
                <w:rFonts w:ascii="Times New Roman CYR" w:hAnsi="Times New Roman CYR" w:cs="Times New Roman CYR"/>
                <w:sz w:val="24"/>
                <w:szCs w:val="24"/>
                <w:u w:val="single"/>
              </w:rPr>
              <w:t>pas</w:t>
            </w:r>
            <w:r>
              <w:rPr>
                <w:rFonts w:ascii="Times New Roman" w:hAnsi="Times New Roman"/>
                <w:sz w:val="24"/>
                <w:szCs w:val="24"/>
                <w:u w:val="single"/>
              </w:rPr>
              <w:t>īvi</w:t>
            </w:r>
            <w:r>
              <w:rPr>
                <w:rFonts w:ascii="Times New Roman CYR" w:hAnsi="Times New Roman CYR" w:cs="Times New Roman CYR"/>
                <w:sz w:val="24"/>
                <w:szCs w:val="24"/>
              </w:rPr>
              <w:t xml:space="preserve"> tikai ar rakstu)</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 xml:space="preserve">Aktīvi </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w:hAnsi="Times New Roman"/>
                <w:sz w:val="24"/>
                <w:szCs w:val="24"/>
              </w:rPr>
            </w:pPr>
            <w:r>
              <w:rPr>
                <w:rFonts w:ascii="Times New Roman CYR" w:hAnsi="Times New Roman CYR" w:cs="Times New Roman CYR"/>
                <w:sz w:val="24"/>
                <w:szCs w:val="24"/>
              </w:rPr>
              <w:t>L</w:t>
            </w:r>
            <w:r>
              <w:rPr>
                <w:rFonts w:ascii="Times New Roman" w:hAnsi="Times New Roman"/>
                <w:sz w:val="24"/>
                <w:szCs w:val="24"/>
              </w:rPr>
              <w:t>ūdzam atzīmēt vai ir nepieciešama kāda palīdzība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Nav</w:t>
            </w:r>
          </w:p>
        </w:tc>
      </w:tr>
    </w:tbl>
    <w:p w:rsidR="001B7590" w:rsidRDefault="001B7590" w:rsidP="001B7590">
      <w:pPr>
        <w:widowControl w:val="0"/>
        <w:autoSpaceDE w:val="0"/>
        <w:autoSpaceDN w:val="0"/>
        <w:adjustRightInd w:val="0"/>
        <w:spacing w:after="0" w:line="240" w:lineRule="auto"/>
        <w:rPr>
          <w:rFonts w:ascii="Times New Roman CYR" w:hAnsi="Times New Roman CYR" w:cs="Times New Roman CYR"/>
          <w:sz w:val="24"/>
          <w:szCs w:val="24"/>
        </w:rPr>
      </w:pPr>
    </w:p>
    <w:p w:rsidR="001B7590" w:rsidRDefault="001B7590" w:rsidP="001B7590">
      <w:pPr>
        <w:widowControl w:val="0"/>
        <w:autoSpaceDE w:val="0"/>
        <w:autoSpaceDN w:val="0"/>
        <w:adjustRightInd w:val="0"/>
        <w:spacing w:after="0" w:line="240" w:lineRule="auto"/>
        <w:rPr>
          <w:rFonts w:ascii="Times New Roman CYR" w:hAnsi="Times New Roman CYR" w:cs="Times New Roman CYR"/>
          <w:sz w:val="24"/>
          <w:szCs w:val="24"/>
        </w:rPr>
      </w:pPr>
    </w:p>
    <w:p w:rsidR="001B7590" w:rsidRDefault="001B7590" w:rsidP="001B7590"/>
    <w:p w:rsidR="001B7590" w:rsidRDefault="001B7590" w:rsidP="001B7590"/>
    <w:p w:rsidR="001B7590" w:rsidRDefault="001B7590" w:rsidP="001B7590"/>
    <w:p w:rsidR="00A005E5" w:rsidRDefault="00A005E5" w:rsidP="001B7590"/>
    <w:p w:rsidR="001B7590" w:rsidRDefault="001B7590" w:rsidP="001B7590"/>
    <w:p w:rsidR="001B7590" w:rsidRDefault="001B7590" w:rsidP="001B7590"/>
    <w:p w:rsidR="001B7590" w:rsidRDefault="001B7590" w:rsidP="001B7590">
      <w:pPr>
        <w:widowControl w:val="0"/>
        <w:autoSpaceDE w:val="0"/>
        <w:autoSpaceDN w:val="0"/>
        <w:adjustRightInd w:val="0"/>
        <w:spacing w:after="0" w:line="240" w:lineRule="auto"/>
        <w:jc w:val="center"/>
        <w:rPr>
          <w:rFonts w:ascii="Times New Roman CYR" w:hAnsi="Times New Roman CYR" w:cs="Times New Roman CYR"/>
          <w:b/>
          <w:bCs/>
          <w:color w:val="000000"/>
          <w:sz w:val="24"/>
          <w:szCs w:val="24"/>
        </w:rPr>
      </w:pPr>
      <w:r>
        <w:rPr>
          <w:rFonts w:ascii="Times New Roman CYR" w:hAnsi="Times New Roman CYR" w:cs="Times New Roman CYR"/>
          <w:b/>
          <w:bCs/>
          <w:color w:val="000000"/>
          <w:sz w:val="24"/>
          <w:szCs w:val="24"/>
        </w:rPr>
        <w:t>5</w:t>
      </w:r>
      <w:r w:rsidR="005264C9">
        <w:rPr>
          <w:rFonts w:ascii="Times New Roman CYR" w:hAnsi="Times New Roman CYR" w:cs="Times New Roman CYR"/>
          <w:b/>
          <w:bCs/>
          <w:color w:val="000000"/>
          <w:sz w:val="24"/>
          <w:szCs w:val="24"/>
        </w:rPr>
        <w:t>2</w:t>
      </w:r>
      <w:r>
        <w:rPr>
          <w:rFonts w:ascii="Times New Roman CYR" w:hAnsi="Times New Roman CYR" w:cs="Times New Roman CYR"/>
          <w:b/>
          <w:bCs/>
          <w:color w:val="000000"/>
          <w:sz w:val="24"/>
          <w:szCs w:val="24"/>
        </w:rPr>
        <w:t>. R</w:t>
      </w:r>
      <w:r>
        <w:rPr>
          <w:rFonts w:ascii="Times New Roman" w:hAnsi="Times New Roman"/>
          <w:b/>
          <w:bCs/>
          <w:color w:val="000000"/>
          <w:sz w:val="24"/>
          <w:szCs w:val="24"/>
        </w:rPr>
        <w:t>īgas Tehniskās universitātes konference SCEE’</w:t>
      </w:r>
      <w:r>
        <w:rPr>
          <w:rFonts w:ascii="Times New Roman CYR" w:hAnsi="Times New Roman CYR" w:cs="Times New Roman CYR"/>
          <w:b/>
          <w:bCs/>
          <w:color w:val="000000"/>
          <w:sz w:val="24"/>
          <w:szCs w:val="24"/>
        </w:rPr>
        <w:t xml:space="preserve">2010 </w:t>
      </w:r>
    </w:p>
    <w:p w:rsidR="001B7590" w:rsidRDefault="001B7590" w:rsidP="001B7590">
      <w:pPr>
        <w:widowControl w:val="0"/>
        <w:autoSpaceDE w:val="0"/>
        <w:autoSpaceDN w:val="0"/>
        <w:adjustRightInd w:val="0"/>
        <w:spacing w:after="0" w:line="240" w:lineRule="auto"/>
        <w:jc w:val="center"/>
        <w:rPr>
          <w:rFonts w:ascii="Times New Roman CYR" w:hAnsi="Times New Roman CYR" w:cs="Times New Roman CYR"/>
          <w:b/>
          <w:bCs/>
          <w:i/>
          <w:iCs/>
          <w:color w:val="000000"/>
          <w:sz w:val="24"/>
          <w:szCs w:val="24"/>
        </w:rPr>
      </w:pPr>
      <w:r>
        <w:rPr>
          <w:rFonts w:ascii="Times New Roman CYR" w:hAnsi="Times New Roman CYR" w:cs="Times New Roman CYR"/>
          <w:b/>
          <w:bCs/>
          <w:i/>
          <w:iCs/>
          <w:color w:val="000000"/>
          <w:sz w:val="24"/>
          <w:szCs w:val="24"/>
        </w:rPr>
        <w:t>“Scientific Conference on Economics and Entrepreneurship”</w:t>
      </w:r>
    </w:p>
    <w:p w:rsidR="001B7590" w:rsidRDefault="001B7590" w:rsidP="001B7590">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R</w:t>
      </w:r>
      <w:r>
        <w:rPr>
          <w:rFonts w:ascii="Times New Roman" w:hAnsi="Times New Roman"/>
          <w:b/>
          <w:bCs/>
          <w:sz w:val="28"/>
          <w:szCs w:val="28"/>
        </w:rPr>
        <w:t xml:space="preserve">īga, </w:t>
      </w:r>
      <w:r>
        <w:rPr>
          <w:rFonts w:ascii="Times New Roman CYR" w:hAnsi="Times New Roman CYR" w:cs="Times New Roman CYR"/>
          <w:b/>
          <w:bCs/>
          <w:sz w:val="28"/>
          <w:szCs w:val="28"/>
        </w:rPr>
        <w:t>201</w:t>
      </w:r>
      <w:r w:rsidR="005264C9">
        <w:rPr>
          <w:rFonts w:ascii="Times New Roman CYR" w:hAnsi="Times New Roman CYR" w:cs="Times New Roman CYR"/>
          <w:b/>
          <w:bCs/>
          <w:sz w:val="28"/>
          <w:szCs w:val="28"/>
        </w:rPr>
        <w:t>1</w:t>
      </w:r>
      <w:r>
        <w:rPr>
          <w:rFonts w:ascii="Times New Roman CYR" w:hAnsi="Times New Roman CYR" w:cs="Times New Roman CYR"/>
          <w:b/>
          <w:bCs/>
          <w:sz w:val="28"/>
          <w:szCs w:val="28"/>
        </w:rPr>
        <w:t>.gada 15. oktobris</w:t>
      </w:r>
    </w:p>
    <w:p w:rsidR="001B7590" w:rsidRDefault="001B7590" w:rsidP="001B7590">
      <w:pPr>
        <w:widowControl w:val="0"/>
        <w:tabs>
          <w:tab w:val="left" w:leader="underscore" w:pos="4253"/>
        </w:tabs>
        <w:autoSpaceDE w:val="0"/>
        <w:autoSpaceDN w:val="0"/>
        <w:adjustRightInd w:val="0"/>
        <w:spacing w:after="0" w:line="360" w:lineRule="auto"/>
        <w:jc w:val="center"/>
        <w:rPr>
          <w:rFonts w:ascii="Times New Roman CYR" w:hAnsi="Times New Roman CYR" w:cs="Times New Roman CYR"/>
          <w:b/>
          <w:bCs/>
          <w:sz w:val="24"/>
          <w:szCs w:val="24"/>
        </w:rPr>
      </w:pPr>
    </w:p>
    <w:p w:rsidR="001B7590" w:rsidRDefault="001B7590" w:rsidP="001B7590">
      <w:pPr>
        <w:widowControl w:val="0"/>
        <w:tabs>
          <w:tab w:val="left" w:leader="underscore" w:pos="4253"/>
        </w:tabs>
        <w:autoSpaceDE w:val="0"/>
        <w:autoSpaceDN w:val="0"/>
        <w:adjustRightInd w:val="0"/>
        <w:spacing w:after="0" w:line="36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Re</w:t>
      </w:r>
      <w:r>
        <w:rPr>
          <w:rFonts w:ascii="Times New Roman" w:hAnsi="Times New Roman"/>
          <w:b/>
          <w:bCs/>
          <w:sz w:val="24"/>
          <w:szCs w:val="24"/>
        </w:rPr>
        <w:t>ģistrācijas forma</w:t>
      </w:r>
    </w:p>
    <w:p w:rsidR="001B7590" w:rsidRDefault="001B7590" w:rsidP="001B7590">
      <w:pPr>
        <w:widowControl w:val="0"/>
        <w:tabs>
          <w:tab w:val="left" w:leader="underscore" w:pos="4253"/>
        </w:tabs>
        <w:autoSpaceDE w:val="0"/>
        <w:autoSpaceDN w:val="0"/>
        <w:adjustRightInd w:val="0"/>
        <w:spacing w:after="0" w:line="360" w:lineRule="auto"/>
        <w:rPr>
          <w:rFonts w:ascii="Times New Roman CYR" w:hAnsi="Times New Roman CYR" w:cs="Times New Roman CYR"/>
          <w:sz w:val="24"/>
          <w:szCs w:val="24"/>
        </w:rPr>
      </w:pPr>
    </w:p>
    <w:tbl>
      <w:tblPr>
        <w:tblW w:w="8925" w:type="dxa"/>
        <w:tblLayout w:type="fixed"/>
        <w:tblLook w:val="04A0"/>
      </w:tblPr>
      <w:tblGrid>
        <w:gridCol w:w="4067"/>
        <w:gridCol w:w="4858"/>
      </w:tblGrid>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V</w:t>
            </w:r>
            <w:r>
              <w:rPr>
                <w:rFonts w:ascii="Times New Roman" w:hAnsi="Times New Roman"/>
                <w:sz w:val="24"/>
                <w:szCs w:val="24"/>
              </w:rPr>
              <w:t xml:space="preserve">ārds </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b/>
                <w:sz w:val="24"/>
                <w:szCs w:val="24"/>
              </w:rPr>
            </w:pPr>
            <w:r>
              <w:rPr>
                <w:rFonts w:ascii="Times New Roman CYR" w:hAnsi="Times New Roman CYR" w:cs="Times New Roman CYR"/>
                <w:b/>
                <w:sz w:val="24"/>
                <w:szCs w:val="24"/>
              </w:rPr>
              <w:t>Maija</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Uzv</w:t>
            </w:r>
            <w:r>
              <w:rPr>
                <w:rFonts w:ascii="Times New Roman" w:hAnsi="Times New Roman"/>
                <w:sz w:val="24"/>
                <w:szCs w:val="24"/>
              </w:rPr>
              <w:t>ārds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b/>
                <w:sz w:val="24"/>
                <w:szCs w:val="24"/>
              </w:rPr>
            </w:pPr>
            <w:r>
              <w:rPr>
                <w:rFonts w:ascii="Times New Roman CYR" w:hAnsi="Times New Roman CYR" w:cs="Times New Roman CYR"/>
                <w:b/>
                <w:sz w:val="24"/>
                <w:szCs w:val="24"/>
              </w:rPr>
              <w:t>Šenfelde</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Zin</w:t>
            </w:r>
            <w:r>
              <w:rPr>
                <w:rFonts w:ascii="Times New Roman" w:hAnsi="Times New Roman"/>
                <w:sz w:val="24"/>
                <w:szCs w:val="24"/>
              </w:rPr>
              <w:t>ātniskais grāds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CYR" w:hAnsi="Times New Roman CYR" w:cs="Times New Roman CYR"/>
                <w:sz w:val="24"/>
                <w:szCs w:val="24"/>
              </w:rPr>
              <w:t>Dr.oec.</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Amats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CYR" w:hAnsi="Times New Roman CYR" w:cs="Times New Roman CYR"/>
                <w:sz w:val="24"/>
                <w:szCs w:val="24"/>
              </w:rPr>
              <w:t>profesore</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Valsts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w:hAnsi="Times New Roman"/>
                <w:sz w:val="24"/>
                <w:szCs w:val="24"/>
              </w:rPr>
              <w:t>Latvija</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Instit</w:t>
            </w:r>
            <w:r>
              <w:rPr>
                <w:rFonts w:ascii="Times New Roman" w:hAnsi="Times New Roman"/>
                <w:sz w:val="24"/>
                <w:szCs w:val="24"/>
              </w:rPr>
              <w:t>ūcija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Rīgas Tehniskā universitāte</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Pasta adrese</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CYR" w:hAnsi="Times New Roman CYR" w:cs="Times New Roman CYR"/>
                <w:sz w:val="24"/>
                <w:szCs w:val="24"/>
              </w:rPr>
              <w:t xml:space="preserve">Meža ielā 1/7 – 515, Rīga, LV-1048 </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p>
        </w:tc>
        <w:tc>
          <w:tcPr>
            <w:tcW w:w="4860" w:type="dxa"/>
            <w:tcBorders>
              <w:top w:val="single" w:sz="6" w:space="0" w:color="auto"/>
              <w:left w:val="single" w:sz="6" w:space="0" w:color="auto"/>
              <w:bottom w:val="single" w:sz="6" w:space="0" w:color="auto"/>
              <w:right w:val="single" w:sz="6" w:space="0" w:color="auto"/>
            </w:tcBorders>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p>
        </w:tc>
        <w:tc>
          <w:tcPr>
            <w:tcW w:w="4860" w:type="dxa"/>
            <w:tcBorders>
              <w:top w:val="single" w:sz="6" w:space="0" w:color="auto"/>
              <w:left w:val="single" w:sz="6" w:space="0" w:color="auto"/>
              <w:bottom w:val="single" w:sz="6" w:space="0" w:color="auto"/>
              <w:right w:val="single" w:sz="6" w:space="0" w:color="auto"/>
            </w:tcBorders>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p>
        </w:tc>
        <w:tc>
          <w:tcPr>
            <w:tcW w:w="4860" w:type="dxa"/>
            <w:tcBorders>
              <w:top w:val="single" w:sz="6" w:space="0" w:color="auto"/>
              <w:left w:val="single" w:sz="6" w:space="0" w:color="auto"/>
              <w:bottom w:val="single" w:sz="6" w:space="0" w:color="auto"/>
              <w:right w:val="single" w:sz="6" w:space="0" w:color="auto"/>
            </w:tcBorders>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T</w:t>
            </w:r>
            <w:r>
              <w:rPr>
                <w:rFonts w:ascii="Times New Roman" w:hAnsi="Times New Roman"/>
                <w:sz w:val="24"/>
                <w:szCs w:val="24"/>
              </w:rPr>
              <w:t>ālrunis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CYR" w:hAnsi="Times New Roman CYR" w:cs="Times New Roman CYR"/>
                <w:sz w:val="24"/>
                <w:szCs w:val="24"/>
              </w:rPr>
              <w:t>+371-67089430, +371-29184578</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Fakss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CYR" w:hAnsi="Times New Roman CYR" w:cs="Times New Roman CYR"/>
                <w:sz w:val="24"/>
                <w:szCs w:val="24"/>
              </w:rPr>
              <w:t>+371-67089467</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E-pasts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rPr>
            </w:pPr>
            <w:r>
              <w:rPr>
                <w:rFonts w:ascii="Times New Roman" w:hAnsi="Times New Roman"/>
                <w:sz w:val="24"/>
                <w:szCs w:val="24"/>
              </w:rPr>
              <w:t>maija.senfelde@rtu.lv</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Raksta nosaukums</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5264C9">
            <w:pPr>
              <w:widowControl w:val="0"/>
              <w:autoSpaceDE w:val="0"/>
              <w:autoSpaceDN w:val="0"/>
              <w:adjustRightInd w:val="0"/>
              <w:spacing w:after="0" w:line="360" w:lineRule="auto"/>
              <w:rPr>
                <w:rFonts w:ascii="Times New Roman CYR" w:hAnsi="Times New Roman CYR" w:cs="Times New Roman CYR"/>
                <w:sz w:val="24"/>
                <w:szCs w:val="24"/>
              </w:rPr>
            </w:pPr>
            <w:r w:rsidRPr="005264C9">
              <w:rPr>
                <w:rFonts w:ascii="Times New Roman CYR" w:hAnsi="Times New Roman CYR" w:cs="Times New Roman CYR"/>
              </w:rPr>
              <w:t>Latvijas pašvaldību finanšu izlīdzināšanas sistēmas pilnveidošanas iespējamie risin</w:t>
            </w:r>
            <w:r>
              <w:rPr>
                <w:rFonts w:ascii="Times New Roman CYR" w:hAnsi="Times New Roman CYR" w:cs="Times New Roman CYR"/>
              </w:rPr>
              <w:t>ā</w:t>
            </w:r>
            <w:r w:rsidRPr="005264C9">
              <w:rPr>
                <w:rFonts w:ascii="Times New Roman CYR" w:hAnsi="Times New Roman CYR" w:cs="Times New Roman CYR"/>
              </w:rPr>
              <w:t>jumi</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Iebraukšana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u w:val="single"/>
              </w:rPr>
            </w:pPr>
            <w:r>
              <w:rPr>
                <w:rFonts w:ascii="Times New Roman CYR" w:hAnsi="Times New Roman CYR" w:cs="Times New Roman CYR"/>
                <w:sz w:val="24"/>
                <w:szCs w:val="24"/>
              </w:rPr>
              <w:t>Izbraukšana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Dal</w:t>
            </w:r>
            <w:r>
              <w:rPr>
                <w:rFonts w:ascii="Times New Roman" w:hAnsi="Times New Roman"/>
                <w:sz w:val="24"/>
                <w:szCs w:val="24"/>
              </w:rPr>
              <w:t>ība (</w:t>
            </w:r>
            <w:r>
              <w:rPr>
                <w:rFonts w:ascii="Times New Roman CYR" w:hAnsi="Times New Roman CYR" w:cs="Times New Roman CYR"/>
                <w:sz w:val="24"/>
                <w:szCs w:val="24"/>
                <w:u w:val="single"/>
              </w:rPr>
              <w:t>Akt</w:t>
            </w:r>
            <w:r>
              <w:rPr>
                <w:rFonts w:ascii="Times New Roman" w:hAnsi="Times New Roman"/>
                <w:sz w:val="24"/>
                <w:szCs w:val="24"/>
                <w:u w:val="single"/>
              </w:rPr>
              <w:t>īvi</w:t>
            </w:r>
            <w:r>
              <w:rPr>
                <w:rFonts w:ascii="Times New Roman CYR" w:hAnsi="Times New Roman CYR" w:cs="Times New Roman CYR"/>
                <w:sz w:val="24"/>
                <w:szCs w:val="24"/>
              </w:rPr>
              <w:t xml:space="preserve"> ar rakstiem un sekcij</w:t>
            </w:r>
            <w:r>
              <w:rPr>
                <w:rFonts w:ascii="Times New Roman" w:hAnsi="Times New Roman"/>
                <w:sz w:val="24"/>
                <w:szCs w:val="24"/>
              </w:rPr>
              <w:t xml:space="preserve">ās, </w:t>
            </w:r>
            <w:r>
              <w:rPr>
                <w:rFonts w:ascii="Times New Roman CYR" w:hAnsi="Times New Roman CYR" w:cs="Times New Roman CYR"/>
                <w:sz w:val="24"/>
                <w:szCs w:val="24"/>
                <w:u w:val="single"/>
              </w:rPr>
              <w:t>pas</w:t>
            </w:r>
            <w:r>
              <w:rPr>
                <w:rFonts w:ascii="Times New Roman" w:hAnsi="Times New Roman"/>
                <w:sz w:val="24"/>
                <w:szCs w:val="24"/>
                <w:u w:val="single"/>
              </w:rPr>
              <w:t>īvi</w:t>
            </w:r>
            <w:r>
              <w:rPr>
                <w:rFonts w:ascii="Times New Roman CYR" w:hAnsi="Times New Roman CYR" w:cs="Times New Roman CYR"/>
                <w:sz w:val="24"/>
                <w:szCs w:val="24"/>
              </w:rPr>
              <w:t xml:space="preserve"> tikai ar rakstu)</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 xml:space="preserve">Aktīvi </w:t>
            </w:r>
          </w:p>
        </w:tc>
      </w:tr>
      <w:tr w:rsidR="001B7590" w:rsidTr="001B7590">
        <w:tc>
          <w:tcPr>
            <w:tcW w:w="4068" w:type="dxa"/>
            <w:tcBorders>
              <w:top w:val="single" w:sz="6" w:space="0" w:color="auto"/>
              <w:left w:val="single" w:sz="6" w:space="0" w:color="auto"/>
              <w:bottom w:val="single" w:sz="6" w:space="0" w:color="auto"/>
              <w:right w:val="single" w:sz="6" w:space="0" w:color="auto"/>
            </w:tcBorders>
            <w:vAlign w:val="center"/>
            <w:hideMark/>
          </w:tcPr>
          <w:p w:rsidR="001B7590" w:rsidRDefault="001B7590">
            <w:pPr>
              <w:widowControl w:val="0"/>
              <w:autoSpaceDE w:val="0"/>
              <w:autoSpaceDN w:val="0"/>
              <w:adjustRightInd w:val="0"/>
              <w:spacing w:after="0" w:line="240" w:lineRule="auto"/>
              <w:rPr>
                <w:rFonts w:ascii="Times New Roman" w:hAnsi="Times New Roman"/>
                <w:sz w:val="24"/>
                <w:szCs w:val="24"/>
              </w:rPr>
            </w:pPr>
            <w:r>
              <w:rPr>
                <w:rFonts w:ascii="Times New Roman CYR" w:hAnsi="Times New Roman CYR" w:cs="Times New Roman CYR"/>
                <w:sz w:val="24"/>
                <w:szCs w:val="24"/>
              </w:rPr>
              <w:t>L</w:t>
            </w:r>
            <w:r>
              <w:rPr>
                <w:rFonts w:ascii="Times New Roman" w:hAnsi="Times New Roman"/>
                <w:sz w:val="24"/>
                <w:szCs w:val="24"/>
              </w:rPr>
              <w:t>ūdzam atzīmēt vai ir nepieciešama kāda palīdzība</w:t>
            </w:r>
          </w:p>
        </w:tc>
        <w:tc>
          <w:tcPr>
            <w:tcW w:w="4860" w:type="dxa"/>
            <w:tcBorders>
              <w:top w:val="single" w:sz="6" w:space="0" w:color="auto"/>
              <w:left w:val="single" w:sz="6" w:space="0" w:color="auto"/>
              <w:bottom w:val="single" w:sz="6" w:space="0" w:color="auto"/>
              <w:right w:val="single" w:sz="6" w:space="0" w:color="auto"/>
            </w:tcBorders>
            <w:hideMark/>
          </w:tcPr>
          <w:p w:rsidR="001B7590" w:rsidRDefault="001B7590">
            <w:pPr>
              <w:widowControl w:val="0"/>
              <w:autoSpaceDE w:val="0"/>
              <w:autoSpaceDN w:val="0"/>
              <w:adjustRightInd w:val="0"/>
              <w:spacing w:after="0" w:line="360" w:lineRule="auto"/>
              <w:rPr>
                <w:rFonts w:ascii="Times New Roman CYR" w:hAnsi="Times New Roman CYR" w:cs="Times New Roman CYR"/>
                <w:sz w:val="24"/>
                <w:szCs w:val="24"/>
                <w:u w:val="single"/>
              </w:rPr>
            </w:pPr>
            <w:r>
              <w:rPr>
                <w:rFonts w:ascii="Times New Roman" w:hAnsi="Times New Roman"/>
                <w:sz w:val="24"/>
                <w:szCs w:val="24"/>
              </w:rPr>
              <w:t>Nav</w:t>
            </w:r>
          </w:p>
        </w:tc>
      </w:tr>
    </w:tbl>
    <w:p w:rsidR="001B7590" w:rsidRDefault="001B7590" w:rsidP="001B7590">
      <w:pPr>
        <w:widowControl w:val="0"/>
        <w:autoSpaceDE w:val="0"/>
        <w:autoSpaceDN w:val="0"/>
        <w:adjustRightInd w:val="0"/>
        <w:spacing w:after="0" w:line="240" w:lineRule="auto"/>
        <w:rPr>
          <w:rFonts w:ascii="Times New Roman CYR" w:hAnsi="Times New Roman CYR" w:cs="Times New Roman CYR"/>
          <w:sz w:val="24"/>
          <w:szCs w:val="24"/>
        </w:rPr>
      </w:pPr>
    </w:p>
    <w:p w:rsidR="001B7590" w:rsidRDefault="001B7590" w:rsidP="001B7590">
      <w:pPr>
        <w:widowControl w:val="0"/>
        <w:autoSpaceDE w:val="0"/>
        <w:autoSpaceDN w:val="0"/>
        <w:adjustRightInd w:val="0"/>
        <w:spacing w:after="0" w:line="240" w:lineRule="auto"/>
        <w:rPr>
          <w:rFonts w:ascii="Times New Roman CYR" w:hAnsi="Times New Roman CYR" w:cs="Times New Roman CYR"/>
          <w:sz w:val="24"/>
          <w:szCs w:val="24"/>
        </w:rPr>
      </w:pPr>
    </w:p>
    <w:p w:rsidR="001B7590" w:rsidRDefault="001B7590" w:rsidP="001B7590"/>
    <w:p w:rsidR="001B7590" w:rsidRDefault="001B7590" w:rsidP="001B7590"/>
    <w:p w:rsidR="001B7590" w:rsidRDefault="001B7590" w:rsidP="001B7590"/>
    <w:p w:rsidR="001B7590" w:rsidRDefault="001B7590" w:rsidP="001B7590"/>
    <w:p w:rsidR="001B7590" w:rsidRDefault="001B7590" w:rsidP="001B7590"/>
    <w:p w:rsidR="002C1C45" w:rsidRDefault="002C1C45"/>
    <w:sectPr w:rsidR="002C1C45" w:rsidSect="00A005E5">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543" w:rsidRDefault="00F71543" w:rsidP="001B7590">
      <w:pPr>
        <w:spacing w:after="0" w:line="240" w:lineRule="auto"/>
      </w:pPr>
      <w:r>
        <w:separator/>
      </w:r>
    </w:p>
  </w:endnote>
  <w:endnote w:type="continuationSeparator" w:id="0">
    <w:p w:rsidR="00F71543" w:rsidRDefault="00F71543" w:rsidP="001B75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Times New Roman CYR">
    <w:altName w:val="Times New Roman"/>
    <w:charset w:val="BA"/>
    <w:family w:val="roman"/>
    <w:pitch w:val="variable"/>
    <w:sig w:usb0="00000000"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543" w:rsidRDefault="00F71543" w:rsidP="001B7590">
      <w:pPr>
        <w:spacing w:after="0" w:line="240" w:lineRule="auto"/>
      </w:pPr>
      <w:r>
        <w:separator/>
      </w:r>
    </w:p>
  </w:footnote>
  <w:footnote w:type="continuationSeparator" w:id="0">
    <w:p w:rsidR="00F71543" w:rsidRDefault="00F71543" w:rsidP="001B75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BE2360D"/>
    <w:multiLevelType w:val="hybridMultilevel"/>
    <w:tmpl w:val="EACE6E88"/>
    <w:lvl w:ilvl="0" w:tplc="22347E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nsid w:val="799644B6"/>
    <w:multiLevelType w:val="hybridMultilevel"/>
    <w:tmpl w:val="E2243672"/>
    <w:lvl w:ilvl="0" w:tplc="30E6696C">
      <w:start w:val="1"/>
      <w:numFmt w:val="decimal"/>
      <w:lvlText w:val="%1)"/>
      <w:lvlJc w:val="left"/>
      <w:pPr>
        <w:ind w:left="984" w:hanging="360"/>
      </w:pPr>
      <w:rPr>
        <w:rFonts w:hint="default"/>
      </w:rPr>
    </w:lvl>
    <w:lvl w:ilvl="1" w:tplc="04260019">
      <w:start w:val="1"/>
      <w:numFmt w:val="lowerLetter"/>
      <w:lvlText w:val="%2."/>
      <w:lvlJc w:val="left"/>
      <w:pPr>
        <w:ind w:left="1704" w:hanging="360"/>
      </w:pPr>
    </w:lvl>
    <w:lvl w:ilvl="2" w:tplc="0426001B" w:tentative="1">
      <w:start w:val="1"/>
      <w:numFmt w:val="lowerRoman"/>
      <w:lvlText w:val="%3."/>
      <w:lvlJc w:val="right"/>
      <w:pPr>
        <w:ind w:left="2424" w:hanging="180"/>
      </w:pPr>
    </w:lvl>
    <w:lvl w:ilvl="3" w:tplc="0426000F" w:tentative="1">
      <w:start w:val="1"/>
      <w:numFmt w:val="decimal"/>
      <w:lvlText w:val="%4."/>
      <w:lvlJc w:val="left"/>
      <w:pPr>
        <w:ind w:left="3144" w:hanging="360"/>
      </w:pPr>
    </w:lvl>
    <w:lvl w:ilvl="4" w:tplc="04260019" w:tentative="1">
      <w:start w:val="1"/>
      <w:numFmt w:val="lowerLetter"/>
      <w:lvlText w:val="%5."/>
      <w:lvlJc w:val="left"/>
      <w:pPr>
        <w:ind w:left="3864" w:hanging="360"/>
      </w:pPr>
    </w:lvl>
    <w:lvl w:ilvl="5" w:tplc="0426001B" w:tentative="1">
      <w:start w:val="1"/>
      <w:numFmt w:val="lowerRoman"/>
      <w:lvlText w:val="%6."/>
      <w:lvlJc w:val="right"/>
      <w:pPr>
        <w:ind w:left="4584" w:hanging="180"/>
      </w:pPr>
    </w:lvl>
    <w:lvl w:ilvl="6" w:tplc="0426000F" w:tentative="1">
      <w:start w:val="1"/>
      <w:numFmt w:val="decimal"/>
      <w:lvlText w:val="%7."/>
      <w:lvlJc w:val="left"/>
      <w:pPr>
        <w:ind w:left="5304" w:hanging="360"/>
      </w:pPr>
    </w:lvl>
    <w:lvl w:ilvl="7" w:tplc="04260019" w:tentative="1">
      <w:start w:val="1"/>
      <w:numFmt w:val="lowerLetter"/>
      <w:lvlText w:val="%8."/>
      <w:lvlJc w:val="left"/>
      <w:pPr>
        <w:ind w:left="6024" w:hanging="360"/>
      </w:pPr>
    </w:lvl>
    <w:lvl w:ilvl="8" w:tplc="0426001B" w:tentative="1">
      <w:start w:val="1"/>
      <w:numFmt w:val="lowerRoman"/>
      <w:lvlText w:val="%9."/>
      <w:lvlJc w:val="right"/>
      <w:pPr>
        <w:ind w:left="6744"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1B7590"/>
    <w:rsid w:val="001B7590"/>
    <w:rsid w:val="00243B6E"/>
    <w:rsid w:val="002C1C45"/>
    <w:rsid w:val="004B62B9"/>
    <w:rsid w:val="005264C9"/>
    <w:rsid w:val="006A3B2F"/>
    <w:rsid w:val="006B51A3"/>
    <w:rsid w:val="007F7CBC"/>
    <w:rsid w:val="00A005E5"/>
    <w:rsid w:val="00A45D69"/>
    <w:rsid w:val="00AD29E7"/>
    <w:rsid w:val="00AE431C"/>
    <w:rsid w:val="00BF2690"/>
    <w:rsid w:val="00D8557D"/>
    <w:rsid w:val="00D91C59"/>
    <w:rsid w:val="00E163C4"/>
    <w:rsid w:val="00F26330"/>
    <w:rsid w:val="00F71543"/>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v-LV" w:eastAsia="en-US" w:bidi="ar-SA"/>
      </w:rPr>
    </w:rPrDefault>
    <w:pPrDefault>
      <w:pPr>
        <w:spacing w:after="200" w:line="276" w:lineRule="auto"/>
        <w:ind w:left="624" w:right="62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59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759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7590"/>
    <w:rPr>
      <w:rFonts w:ascii="Calibri" w:eastAsia="Calibri" w:hAnsi="Calibri" w:cs="Times New Roman"/>
    </w:rPr>
  </w:style>
  <w:style w:type="paragraph" w:styleId="Footer">
    <w:name w:val="footer"/>
    <w:basedOn w:val="Normal"/>
    <w:link w:val="FooterChar"/>
    <w:uiPriority w:val="99"/>
    <w:unhideWhenUsed/>
    <w:rsid w:val="001B759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7590"/>
    <w:rPr>
      <w:rFonts w:ascii="Calibri" w:eastAsia="Calibri" w:hAnsi="Calibri" w:cs="Times New Roman"/>
    </w:rPr>
  </w:style>
  <w:style w:type="paragraph" w:styleId="ListParagraph">
    <w:name w:val="List Paragraph"/>
    <w:basedOn w:val="Normal"/>
    <w:uiPriority w:val="34"/>
    <w:qFormat/>
    <w:rsid w:val="00D91C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ind w:left="624" w:right="62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759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7590"/>
    <w:pPr>
      <w:tabs>
        <w:tab w:val="center" w:pos="4153"/>
        <w:tab w:val="right" w:pos="8306"/>
      </w:tabs>
      <w:spacing w:after="0" w:line="240" w:lineRule="auto"/>
    </w:pPr>
  </w:style>
  <w:style w:type="character" w:customStyle="1" w:styleId="HeaderChar">
    <w:name w:val="Header Char"/>
    <w:basedOn w:val="DefaultParagraphFont"/>
    <w:link w:val="Header"/>
    <w:uiPriority w:val="99"/>
    <w:rsid w:val="001B7590"/>
    <w:rPr>
      <w:rFonts w:ascii="Calibri" w:eastAsia="Calibri" w:hAnsi="Calibri" w:cs="Times New Roman"/>
    </w:rPr>
  </w:style>
  <w:style w:type="paragraph" w:styleId="Footer">
    <w:name w:val="footer"/>
    <w:basedOn w:val="Normal"/>
    <w:link w:val="FooterChar"/>
    <w:uiPriority w:val="99"/>
    <w:unhideWhenUsed/>
    <w:rsid w:val="001B7590"/>
    <w:pPr>
      <w:tabs>
        <w:tab w:val="center" w:pos="4153"/>
        <w:tab w:val="right" w:pos="8306"/>
      </w:tabs>
      <w:spacing w:after="0" w:line="240" w:lineRule="auto"/>
    </w:pPr>
  </w:style>
  <w:style w:type="character" w:customStyle="1" w:styleId="FooterChar">
    <w:name w:val="Footer Char"/>
    <w:basedOn w:val="DefaultParagraphFont"/>
    <w:link w:val="Footer"/>
    <w:uiPriority w:val="99"/>
    <w:rsid w:val="001B7590"/>
    <w:rPr>
      <w:rFonts w:ascii="Calibri" w:eastAsia="Calibri" w:hAnsi="Calibri" w:cs="Times New Roman"/>
    </w:rPr>
  </w:style>
  <w:style w:type="paragraph" w:styleId="ListParagraph">
    <w:name w:val="List Paragraph"/>
    <w:basedOn w:val="Normal"/>
    <w:uiPriority w:val="34"/>
    <w:qFormat/>
    <w:rsid w:val="00D91C59"/>
    <w:pPr>
      <w:ind w:left="720"/>
      <w:contextualSpacing/>
    </w:pPr>
  </w:style>
</w:styles>
</file>

<file path=word/webSettings.xml><?xml version="1.0" encoding="utf-8"?>
<w:webSettings xmlns:r="http://schemas.openxmlformats.org/officeDocument/2006/relationships" xmlns:w="http://schemas.openxmlformats.org/wordprocessingml/2006/main">
  <w:divs>
    <w:div w:id="23936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2572</Words>
  <Characters>1467</Characters>
  <Application>Microsoft Office Word</Application>
  <DocSecurity>0</DocSecurity>
  <Lines>12</Lines>
  <Paragraphs>8</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Johny</dc:creator>
  <cp:lastModifiedBy>Johny</cp:lastModifiedBy>
  <cp:revision>2</cp:revision>
  <dcterms:created xsi:type="dcterms:W3CDTF">2012-06-28T17:24:00Z</dcterms:created>
  <dcterms:modified xsi:type="dcterms:W3CDTF">2012-06-28T17:24:00Z</dcterms:modified>
</cp:coreProperties>
</file>