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30A9E" w14:textId="2C67AE24" w:rsidR="00EE464E" w:rsidRPr="00137DC0" w:rsidRDefault="004F5654" w:rsidP="00980413">
      <w:pPr>
        <w:jc w:val="center"/>
        <w:rPr>
          <w:rFonts w:ascii="Times New Roman" w:hAnsi="Times New Roman" w:cs="Times New Roman"/>
        </w:rPr>
      </w:pPr>
      <w:r w:rsidRPr="00137DC0">
        <w:rPr>
          <w:rFonts w:ascii="Times New Roman" w:hAnsi="Times New Roman" w:cs="Times New Roman"/>
        </w:rPr>
        <w:t>Supplementary</w:t>
      </w:r>
    </w:p>
    <w:p w14:paraId="1F3ED1FF" w14:textId="62C65371" w:rsidR="00EE464E" w:rsidRPr="00137DC0" w:rsidRDefault="00137DC0" w:rsidP="00980413">
      <w:pPr>
        <w:jc w:val="center"/>
        <w:rPr>
          <w:rFonts w:ascii="Times New Roman" w:hAnsi="Times New Roman" w:cs="Times New Roman"/>
        </w:rPr>
      </w:pPr>
      <w:r w:rsidRPr="00137DC0">
        <w:rPr>
          <w:rFonts w:ascii="Times New Roman" w:hAnsi="Times New Roman" w:cs="Times New Roman"/>
        </w:rPr>
        <w:object w:dxaOrig="3082" w:dyaOrig="2314" w14:anchorId="2E3A67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4.75pt;height:198pt" o:ole="">
            <v:imagedata r:id="rId6" o:title=""/>
          </v:shape>
          <o:OLEObject Type="Embed" ProgID="Origin95.Graph" ShapeID="_x0000_i1025" DrawAspect="Content" ObjectID="_1770804270" r:id="rId7"/>
        </w:object>
      </w:r>
    </w:p>
    <w:p w14:paraId="11678803" w14:textId="2E74014D" w:rsidR="004F5654" w:rsidRPr="00137DC0" w:rsidRDefault="009B77ED">
      <w:pPr>
        <w:rPr>
          <w:rFonts w:ascii="Times New Roman" w:hAnsi="Times New Roman" w:cs="Times New Roman"/>
        </w:rPr>
      </w:pPr>
      <w:r w:rsidRPr="00137DC0">
        <w:rPr>
          <w:rFonts w:ascii="Times New Roman" w:hAnsi="Times New Roman" w:cs="Times New Roman"/>
        </w:rPr>
        <w:t xml:space="preserve">Fig. </w:t>
      </w:r>
      <w:r w:rsidR="00980413" w:rsidRPr="00137DC0">
        <w:rPr>
          <w:rFonts w:ascii="Times New Roman" w:hAnsi="Times New Roman" w:cs="Times New Roman"/>
        </w:rPr>
        <w:t>S1</w:t>
      </w:r>
      <w:r w:rsidRPr="00137DC0">
        <w:rPr>
          <w:rFonts w:ascii="Times New Roman" w:hAnsi="Times New Roman" w:cs="Times New Roman"/>
        </w:rPr>
        <w:t>. DMA curves for storage modulus of developed polymer foam samples.</w:t>
      </w:r>
    </w:p>
    <w:p w14:paraId="0A435B02" w14:textId="77777777" w:rsidR="00EE464E" w:rsidRPr="00137DC0" w:rsidRDefault="00EE464E">
      <w:pPr>
        <w:rPr>
          <w:rFonts w:ascii="Times New Roman" w:hAnsi="Times New Roman" w:cs="Times New Roman"/>
        </w:rPr>
      </w:pPr>
    </w:p>
    <w:p w14:paraId="0A9FD269" w14:textId="14984E1F" w:rsidR="00EE464E" w:rsidRPr="00137DC0" w:rsidRDefault="00137DC0" w:rsidP="00980413">
      <w:pPr>
        <w:jc w:val="center"/>
        <w:rPr>
          <w:rFonts w:ascii="Times New Roman" w:hAnsi="Times New Roman" w:cs="Times New Roman"/>
        </w:rPr>
      </w:pPr>
      <w:r w:rsidRPr="00137DC0">
        <w:rPr>
          <w:rFonts w:ascii="Times New Roman" w:hAnsi="Times New Roman" w:cs="Times New Roman"/>
        </w:rPr>
        <w:object w:dxaOrig="3082" w:dyaOrig="2314" w14:anchorId="75E6ADD6">
          <v:shape id="_x0000_i1026" type="#_x0000_t75" style="width:264.75pt;height:198pt" o:ole="">
            <v:imagedata r:id="rId8" o:title=""/>
          </v:shape>
          <o:OLEObject Type="Embed" ProgID="Origin95.Graph" ShapeID="_x0000_i1026" DrawAspect="Content" ObjectID="_1770804271" r:id="rId9"/>
        </w:object>
      </w:r>
    </w:p>
    <w:p w14:paraId="38570940" w14:textId="522CEAA6" w:rsidR="008B1FB3" w:rsidRPr="00137DC0" w:rsidRDefault="009B77ED">
      <w:pPr>
        <w:rPr>
          <w:rFonts w:ascii="Times New Roman" w:hAnsi="Times New Roman" w:cs="Times New Roman"/>
        </w:rPr>
      </w:pPr>
      <w:r w:rsidRPr="00137DC0">
        <w:rPr>
          <w:rFonts w:ascii="Times New Roman" w:hAnsi="Times New Roman" w:cs="Times New Roman"/>
        </w:rPr>
        <w:t xml:space="preserve">Fig. </w:t>
      </w:r>
      <w:r w:rsidR="00980413" w:rsidRPr="00137DC0">
        <w:rPr>
          <w:rFonts w:ascii="Times New Roman" w:hAnsi="Times New Roman" w:cs="Times New Roman"/>
        </w:rPr>
        <w:t>S2</w:t>
      </w:r>
      <w:r w:rsidRPr="00137DC0">
        <w:rPr>
          <w:rFonts w:ascii="Times New Roman" w:hAnsi="Times New Roman" w:cs="Times New Roman"/>
        </w:rPr>
        <w:t>. DMA curves for loss modulus of developed polymer foam samples.</w:t>
      </w:r>
    </w:p>
    <w:p w14:paraId="120853E5" w14:textId="1DA12434" w:rsidR="009B77ED" w:rsidRPr="00137DC0" w:rsidRDefault="00BE217A" w:rsidP="00980413">
      <w:pPr>
        <w:jc w:val="center"/>
        <w:rPr>
          <w:rFonts w:ascii="Times New Roman" w:hAnsi="Times New Roman" w:cs="Times New Roman"/>
        </w:rPr>
      </w:pPr>
      <w:r w:rsidRPr="00BE217A">
        <w:rPr>
          <w:rFonts w:ascii="Times New Roman" w:hAnsi="Times New Roman" w:cs="Times New Roman"/>
          <w:noProof/>
        </w:rPr>
        <w:drawing>
          <wp:inline distT="0" distB="0" distL="0" distR="0" wp14:anchorId="0C472D9F" wp14:editId="49F6907E">
            <wp:extent cx="3333750" cy="2552700"/>
            <wp:effectExtent l="0" t="0" r="0" b="0"/>
            <wp:docPr id="1211739369"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0" cy="2552700"/>
                    </a:xfrm>
                    <a:prstGeom prst="rect">
                      <a:avLst/>
                    </a:prstGeom>
                    <a:noFill/>
                    <a:ln>
                      <a:noFill/>
                    </a:ln>
                  </pic:spPr>
                </pic:pic>
              </a:graphicData>
            </a:graphic>
          </wp:inline>
        </w:drawing>
      </w:r>
    </w:p>
    <w:p w14:paraId="1DBECCEE" w14:textId="153AE3F6" w:rsidR="009B77ED" w:rsidRDefault="009B77ED" w:rsidP="009B77ED">
      <w:pPr>
        <w:rPr>
          <w:rFonts w:ascii="Times New Roman" w:hAnsi="Times New Roman" w:cs="Times New Roman"/>
        </w:rPr>
      </w:pPr>
      <w:r w:rsidRPr="00137DC0">
        <w:rPr>
          <w:rFonts w:ascii="Times New Roman" w:hAnsi="Times New Roman" w:cs="Times New Roman"/>
        </w:rPr>
        <w:t xml:space="preserve">Fig. 3S. DMA curves for loss modulus and tanδ of </w:t>
      </w:r>
      <w:r w:rsidR="00980413" w:rsidRPr="00137DC0">
        <w:rPr>
          <w:rFonts w:ascii="Times New Roman" w:hAnsi="Times New Roman" w:cs="Times New Roman"/>
        </w:rPr>
        <w:t>for E</w:t>
      </w:r>
      <w:r w:rsidR="00980413" w:rsidRPr="00137DC0">
        <w:rPr>
          <w:rFonts w:ascii="Times New Roman" w:hAnsi="Times New Roman" w:cs="Times New Roman"/>
          <w:vertAlign w:val="superscript"/>
        </w:rPr>
        <w:t>IR</w:t>
      </w:r>
      <w:r w:rsidR="00980413" w:rsidRPr="00137DC0">
        <w:rPr>
          <w:rFonts w:ascii="Times New Roman" w:hAnsi="Times New Roman" w:cs="Times New Roman"/>
        </w:rPr>
        <w:t xml:space="preserve">TOFA_TMP_AA_ESOA </w:t>
      </w:r>
      <w:r w:rsidRPr="00137DC0">
        <w:rPr>
          <w:rFonts w:ascii="Times New Roman" w:hAnsi="Times New Roman" w:cs="Times New Roman"/>
        </w:rPr>
        <w:t>polymer sample.</w:t>
      </w:r>
    </w:p>
    <w:p w14:paraId="1DF806BA" w14:textId="77777777" w:rsidR="00137DC0" w:rsidRPr="00137DC0" w:rsidRDefault="00137DC0" w:rsidP="009B77ED">
      <w:pPr>
        <w:rPr>
          <w:rFonts w:ascii="Times New Roman" w:hAnsi="Times New Roman" w:cs="Times New Roman"/>
        </w:rPr>
      </w:pPr>
    </w:p>
    <w:p w14:paraId="5C3667E0" w14:textId="428030BE" w:rsidR="00137DC0" w:rsidRPr="00137DC0" w:rsidRDefault="00137DC0" w:rsidP="00137DC0">
      <w:pPr>
        <w:pBdr>
          <w:top w:val="nil"/>
          <w:left w:val="nil"/>
          <w:bottom w:val="nil"/>
          <w:right w:val="nil"/>
          <w:between w:val="nil"/>
        </w:pBdr>
        <w:tabs>
          <w:tab w:val="left" w:pos="8222"/>
        </w:tabs>
        <w:spacing w:after="120"/>
        <w:contextualSpacing/>
        <w:jc w:val="both"/>
        <w:rPr>
          <w:rFonts w:ascii="Times New Roman" w:eastAsia="Calibri" w:hAnsi="Times New Roman" w:cs="Times New Roman"/>
          <w:kern w:val="0"/>
          <w:lang w:eastAsia="en-GB"/>
          <w14:ligatures w14:val="none"/>
        </w:rPr>
      </w:pPr>
      <w:r w:rsidRPr="00137DC0">
        <w:rPr>
          <w:rFonts w:ascii="Times New Roman" w:eastAsia="Calibri" w:hAnsi="Times New Roman" w:cs="Times New Roman"/>
          <w:kern w:val="0"/>
          <w:lang w:eastAsia="en-GB"/>
          <w14:ligatures w14:val="none"/>
        </w:rPr>
        <w:lastRenderedPageBreak/>
        <w:t xml:space="preserve">Equation 1 was used to calculate the cross-link density using the results from the DMA test </w:t>
      </w:r>
      <w:r w:rsidRPr="00137DC0">
        <w:rPr>
          <w:rFonts w:ascii="Times New Roman" w:eastAsia="Calibri" w:hAnsi="Times New Roman" w:cs="Times New Roman"/>
          <w:kern w:val="0"/>
          <w:lang w:eastAsia="en-GB"/>
          <w14:ligatures w14:val="none"/>
        </w:rPr>
        <w:fldChar w:fldCharType="begin" w:fldLock="1"/>
      </w:r>
      <w:r w:rsidRPr="00137DC0">
        <w:rPr>
          <w:rFonts w:ascii="Times New Roman" w:eastAsia="Calibri" w:hAnsi="Times New Roman" w:cs="Times New Roman"/>
          <w:kern w:val="0"/>
          <w:lang w:eastAsia="en-GB"/>
          <w14:ligatures w14:val="none"/>
        </w:rPr>
        <w:instrText>ADDIN CSL_CITATION {"citationItems":[{"id":"ITEM-1","itemData":{"DOI":"10.3390/coatings9050319","ISSN":"20796412","abstract":"Epoxy resins are widely applicable in the aircraft, automobile, coating, and adhesive industries because of their good chemical resistance and excellent mechanical and thermal properties. However, upon external impact, the crack propagation of epoxy polymers weakens the overall impact resistance of these materials. Therefore, many impact modifiers have been developed to reduce the brittleness of epoxy polymers. Polyurethanes, as impact modifiers, can improve the toughness of polymers. Although it is well known that polyurethanes (PUs) are phase-separated in the polymer matrix after curing, connecting PUs to the polymer matrix for enhancing the mechanical properties of polymers has proven to be challenging. In this study, we introduced epoxy functional groups into polyol backbones, which is different from other studies that focused on modifying capping agents to achieve a network structure between the polymer matrix and PU. We confirmed the molecular weight of the prepared PU via gel permeation chromatography. Moreover, the prepared material was added to the epoxies and the resulting mechanical and thermal properties of the materials were evaluated. Furthermore, we conducted tensile, flexural strength, and impact resistance measurements. The addition of PU to the epoxy compositions enhanced their impact strength and maintained their mechanical strength up to 10 phr of PU. Furthermore, the morphologies observed with field emission scanning electron microscopy and transmission electron microscopy proved that the PU was phase separated in the epoxy matrix.","author":[{"dropping-particle":"","family":"Kim","given":"Tae Hee","non-dropping-particle":"","parse-names":false,"suffix":""},{"dropping-particle":"","family":"Kim","given":"Miri","non-dropping-particle":"","parse-names":false,"suffix":""},{"dropping-particle":"","family":"Lee","given":"Wonjoo","non-dropping-particle":"","parse-names":false,"suffix":""},{"dropping-particle":"","family":"Kim","given":"Hyeon Gook","non-dropping-particle":"","parse-names":false,"suffix":""},{"dropping-particle":"","family":"Lim","given":"Choong Sun","non-dropping-particle":"","parse-names":false,"suffix":""},{"dropping-particle":"","family":"Seo","given":"Bongkuk","non-dropping-particle":"","parse-names":false,"suffix":""}],"container-title":"Coatings","id":"ITEM-1","issue":"5","issued":{"date-parts":[["2019"]]},"title":"Synthesis and characterization of a polyurethane phase separated to nano size in an epoxy polymer","type":"article-journal","volume":"9"},"uris":["http://www.mendeley.com/documents/?uuid=b80d1a47-1935-4569-afee-06952083b712","http://www.mendeley.com/documents/?uuid=8e518b93-ad71-4816-9c44-9b6738b0e3ac"]},{"id":"ITEM-2","itemData":{"DOI":"10.1021/ie800884y","ISSN":"08885885","abstract":"Organic-inorganic hybrid coatings were derived from a hydroxyl-terminated hyperbranched polyester, 3-isocyanatopropyl triethoxysilane (ISPTES), and then cross-linked widi various percentages of SiO2. This system was able to cross-link by hydrolysis of a tetraethoxysilane group in room temperature and humid conditions and dien at 120 °C for 12-14 h, forming a three-dimensional hybrid structure, where me organic and inorganic phases were bonded covalently. The main focus of this work was to study the change of properties of the coating with SiO2 modification. These hybrid coatings were also characterized by using NMR spectroscopy, Fourier transform infrared (MlK) spectroscopy, dynamical mechanical thermal analyzer (DMTA), thermal analysis (TGA), and tensile strength. © 2008 American Chemical Society.","author":[{"dropping-particle":"","family":"Jena","given":"Kishore K.","non-dropping-particle":"","parse-names":false,"suffix":""},{"dropping-particle":"","family":"Raju","given":"K. V.S.N.","non-dropping-particle":"","parse-names":false,"suffix":""}],"container-title":"Industrial and Engineering Chemistry Research","id":"ITEM-2","issue":"23","issued":{"date-parts":[["2008"]]},"page":"9214-9224","title":"Synthesis and characterization of hyperbranched polyurethane hybrids using tetraethoxysilane (TEOS) as cross-linker","type":"article-journal","volume":"47"},"uris":["http://www.mendeley.com/documents/?uuid=4f54b033-10d3-4b9f-8e2a-548b9a0770f1","http://www.mendeley.com/documents/?uuid=7b2f0bd2-030a-4383-aa26-3d042dfa0b9f"]},{"id":"ITEM-3","itemData":{"DOI":"10.1016/S0300-9440(97)00081-7","ISSN":"03009440","abstract":"Simple, new equations are provided for calculating crosslink density of networks prepared from low-molecular-weight, multi-functional reactants. The equations apply to stoichiometric mixtures at incomplete conversion and are obtained by modification of the Scanlan (Sc) equation. Previously the Sc equation was limited to complete conversion. Examples are selected to represent network forming reactions frequently encountered in thermoset industrial coatings. The rather complex Miller and Macosko (M and M) calculations are applied to the same examples. At extents of conversion in the 0.75 to 1.00 range, the modified Sc equations and the M and M calculations are shown to give the same results. The Sc equations account for dangling ends but neglect sol whereas the M and M calculations account for both dangling ends and sol. Clarifications are provided to explain inconsistencies in published values of 'number average molecular weight of network chains'. © 1997 Elsevier Science S.A.","author":[{"dropping-particle":"","family":"Hill","given":"Loren W.","non-dropping-particle":"","parse-names":false,"suffix":""}],"container-title":"Progress in Organic Coatings","id":"ITEM-3","issue":"3","issued":{"date-parts":[["1997"]]},"page":"235-243","title":"Calculation of crosslink density in short chain networks","type":"article-journal","volume":"31"},"uris":["http://www.mendeley.com/documents/?uuid=254f22b6-78f9-4b1e-a145-4d1ae7cac276"]},{"id":"ITEM-4","itemData":{"DOI":"10.1021/am5071333","ISSN":"19448252","PMID":"25541678","abstract":"In this study, a series of biobased polyols were prepared from olive, canola, grape seed, linseed, and castor oil using a novel, solvent/catalyst-free synthetic method. The biobased triglyceride oils were first oxidized into epoxidized vegetable oils with formic acid and hydrogen peroxide, followed by ring-opening reaction with castor oil fatty acid. The molecular structures of the polyols and the resulting polyurethane were characterized. The effects of crosslinking density and the structures of polyols on the thermal, mechanical, and shape memory properties of the polyurethanes were also investigated. (Graph Presented).","author":[{"dropping-particle":"","family":"Zhang","given":"Chaoqun","non-dropping-particle":"","parse-names":false,"suffix":""},{"dropping-particle":"","family":"Madbouly","given":"Samy A.","non-dropping-particle":"","parse-names":false,"suffix":""},{"dropping-particle":"","family":"Kessler","given":"Michael R.","non-dropping-particle":"","parse-names":false,"suffix":""}],"container-title":"ACS Applied Materials and Interfaces","id":"ITEM-4","issue":"2","issued":{"date-parts":[["2015"]]},"page":"1226-1233","title":"Biobased polyurethanes prepared from different vegetable oils","type":"article-journal","volume":"7"},"uris":["http://www.mendeley.com/documents/?uuid=31dd9144-cead-45df-8fbc-d0e23710a9cc","http://www.mendeley.com/documents/?uuid=d3df3f71-f24e-40c1-a5cd-d2b9b11448bd"]}],"mendeley":{"formattedCitation":"[1–4]","plainTextFormattedCitation":"[1–4]","previouslyFormattedCitation":"(Hill, 1997; Jena and Raju, 2008; Kim et al., 2019; Zhang et al., 2015)"},"properties":{"noteIndex":0},"schema":"https://github.com/citation-style-language/schema/raw/master/csl-citation.json"}</w:instrText>
      </w:r>
      <w:r w:rsidRPr="00137DC0">
        <w:rPr>
          <w:rFonts w:ascii="Times New Roman" w:eastAsia="Calibri" w:hAnsi="Times New Roman" w:cs="Times New Roman"/>
          <w:kern w:val="0"/>
          <w:lang w:eastAsia="en-GB"/>
          <w14:ligatures w14:val="none"/>
        </w:rPr>
        <w:fldChar w:fldCharType="separate"/>
      </w:r>
      <w:r w:rsidRPr="00137DC0">
        <w:rPr>
          <w:rFonts w:ascii="Times New Roman" w:eastAsia="Calibri" w:hAnsi="Times New Roman" w:cs="Times New Roman"/>
          <w:noProof/>
          <w:kern w:val="0"/>
          <w:lang w:eastAsia="en-GB"/>
          <w14:ligatures w14:val="none"/>
        </w:rPr>
        <w:t>[1–4]</w:t>
      </w:r>
      <w:r w:rsidRPr="00137DC0">
        <w:rPr>
          <w:rFonts w:ascii="Times New Roman" w:eastAsia="Calibri" w:hAnsi="Times New Roman" w:cs="Times New Roman"/>
          <w:kern w:val="0"/>
          <w:lang w:eastAsia="en-GB"/>
          <w14:ligatures w14:val="none"/>
        </w:rPr>
        <w:fldChar w:fldCharType="end"/>
      </w:r>
      <w:r w:rsidRPr="00137DC0">
        <w:rPr>
          <w:rFonts w:ascii="Times New Roman" w:eastAsia="Calibri" w:hAnsi="Times New Roman" w:cs="Times New Roman"/>
          <w:kern w:val="0"/>
          <w:lang w:eastAsia="en-GB"/>
          <w14:ligatures w14:val="none"/>
        </w:rPr>
        <w:t>:</w:t>
      </w:r>
    </w:p>
    <w:tbl>
      <w:tblPr>
        <w:tblW w:w="9214" w:type="dxa"/>
        <w:tblInd w:w="-142" w:type="dxa"/>
        <w:tblCellMar>
          <w:left w:w="0" w:type="dxa"/>
          <w:right w:w="0" w:type="dxa"/>
        </w:tblCellMar>
        <w:tblLook w:val="04A0" w:firstRow="1" w:lastRow="0" w:firstColumn="1" w:lastColumn="0" w:noHBand="0" w:noVBand="1"/>
      </w:tblPr>
      <w:tblGrid>
        <w:gridCol w:w="8647"/>
        <w:gridCol w:w="567"/>
      </w:tblGrid>
      <w:tr w:rsidR="00137DC0" w:rsidRPr="00137DC0" w14:paraId="6A716CBE" w14:textId="77777777" w:rsidTr="00116265">
        <w:tc>
          <w:tcPr>
            <w:tcW w:w="8647" w:type="dxa"/>
          </w:tcPr>
          <w:p w14:paraId="2E3BF336" w14:textId="77777777" w:rsidR="00137DC0" w:rsidRPr="00137DC0" w:rsidRDefault="00000000" w:rsidP="00137DC0">
            <w:pPr>
              <w:tabs>
                <w:tab w:val="left" w:pos="8222"/>
              </w:tabs>
              <w:adjustRightInd w:val="0"/>
              <w:snapToGrid w:val="0"/>
              <w:spacing w:before="120" w:after="120" w:line="260" w:lineRule="atLeast"/>
              <w:contextualSpacing/>
              <w:jc w:val="both"/>
              <w:rPr>
                <w:rFonts w:ascii="Times New Roman" w:eastAsia="Times New Roman" w:hAnsi="Times New Roman" w:cs="Times New Roman"/>
                <w:noProof/>
                <w:snapToGrid w:val="0"/>
                <w:kern w:val="0"/>
                <w:sz w:val="20"/>
                <w:lang w:eastAsia="de-DE" w:bidi="en-US"/>
                <w14:ligatures w14:val="none"/>
              </w:rPr>
            </w:pPr>
            <m:oMathPara>
              <m:oMathParaPr>
                <m:jc m:val="center"/>
              </m:oMathParaPr>
              <m:oMath>
                <m:sSub>
                  <m:sSubPr>
                    <m:ctrlPr>
                      <w:rPr>
                        <w:rFonts w:ascii="Cambria Math" w:eastAsia="Times New Roman" w:hAnsi="Cambria Math" w:cs="Times New Roman"/>
                        <w:noProof/>
                        <w:snapToGrid w:val="0"/>
                        <w:kern w:val="0"/>
                        <w:sz w:val="20"/>
                        <w:lang w:eastAsia="de-DE" w:bidi="en-US"/>
                        <w14:ligatures w14:val="none"/>
                      </w:rPr>
                    </m:ctrlPr>
                  </m:sSubPr>
                  <m:e>
                    <m:r>
                      <w:rPr>
                        <w:rFonts w:ascii="Cambria Math" w:eastAsia="Times New Roman" w:hAnsi="Cambria Math" w:cs="Times New Roman"/>
                        <w:noProof/>
                        <w:snapToGrid w:val="0"/>
                        <w:kern w:val="0"/>
                        <w:sz w:val="20"/>
                        <w:lang w:eastAsia="de-DE" w:bidi="en-US"/>
                        <w14:ligatures w14:val="none"/>
                      </w:rPr>
                      <m:t>ν</m:t>
                    </m:r>
                  </m:e>
                  <m:sub>
                    <m:r>
                      <w:rPr>
                        <w:rFonts w:ascii="Cambria Math" w:eastAsia="Times New Roman" w:hAnsi="Cambria Math" w:cs="Times New Roman"/>
                        <w:noProof/>
                        <w:snapToGrid w:val="0"/>
                        <w:kern w:val="0"/>
                        <w:sz w:val="20"/>
                        <w:lang w:eastAsia="de-DE" w:bidi="en-US"/>
                        <w14:ligatures w14:val="none"/>
                      </w:rPr>
                      <m:t>e</m:t>
                    </m:r>
                  </m:sub>
                </m:sSub>
                <m:r>
                  <m:rPr>
                    <m:sty m:val="p"/>
                  </m:rPr>
                  <w:rPr>
                    <w:rFonts w:ascii="Cambria Math" w:eastAsia="Times New Roman" w:hAnsi="Cambria Math" w:cs="Times New Roman"/>
                    <w:noProof/>
                    <w:snapToGrid w:val="0"/>
                    <w:kern w:val="0"/>
                    <w:sz w:val="20"/>
                    <w:lang w:eastAsia="de-DE" w:bidi="en-US"/>
                    <w14:ligatures w14:val="none"/>
                  </w:rPr>
                  <m:t xml:space="preserve"> = </m:t>
                </m:r>
                <m:f>
                  <m:fPr>
                    <m:ctrlPr>
                      <w:rPr>
                        <w:rFonts w:ascii="Cambria Math" w:eastAsia="Times New Roman" w:hAnsi="Cambria Math" w:cs="Times New Roman"/>
                        <w:noProof/>
                        <w:snapToGrid w:val="0"/>
                        <w:kern w:val="0"/>
                        <w:sz w:val="20"/>
                        <w:lang w:eastAsia="de-DE" w:bidi="en-US"/>
                        <w14:ligatures w14:val="none"/>
                      </w:rPr>
                    </m:ctrlPr>
                  </m:fPr>
                  <m:num>
                    <m:sSubSup>
                      <m:sSubSupPr>
                        <m:ctrlPr>
                          <w:rPr>
                            <w:rFonts w:ascii="Cambria Math" w:eastAsia="Times New Roman" w:hAnsi="Cambria Math" w:cs="Times New Roman"/>
                            <w:noProof/>
                            <w:snapToGrid w:val="0"/>
                            <w:kern w:val="0"/>
                            <w:sz w:val="20"/>
                            <w:lang w:eastAsia="de-DE" w:bidi="en-US"/>
                            <w14:ligatures w14:val="none"/>
                          </w:rPr>
                        </m:ctrlPr>
                      </m:sSubSupPr>
                      <m:e>
                        <m:r>
                          <w:rPr>
                            <w:rFonts w:ascii="Cambria Math" w:eastAsia="SimSun" w:hAnsi="Cambria Math" w:cs="Times New Roman"/>
                            <w:noProof/>
                            <w:kern w:val="0"/>
                            <w:sz w:val="20"/>
                            <w:szCs w:val="20"/>
                            <w:lang w:eastAsia="zh-CN"/>
                            <w14:ligatures w14:val="none"/>
                          </w:rPr>
                          <m:t>E</m:t>
                        </m:r>
                      </m:e>
                      <m:sub>
                        <m:r>
                          <w:rPr>
                            <w:rFonts w:ascii="Cambria Math" w:eastAsia="SimSun" w:hAnsi="Cambria Math" w:cs="Times New Roman"/>
                            <w:noProof/>
                            <w:kern w:val="0"/>
                            <w:sz w:val="20"/>
                            <w:szCs w:val="20"/>
                            <w:lang w:eastAsia="zh-CN"/>
                            <w14:ligatures w14:val="none"/>
                          </w:rPr>
                          <m:t>rubbery</m:t>
                        </m:r>
                      </m:sub>
                      <m:sup>
                        <m:r>
                          <m:rPr>
                            <m:sty m:val="p"/>
                          </m:rPr>
                          <w:rPr>
                            <w:rFonts w:ascii="Cambria Math" w:eastAsia="SimSun" w:hAnsi="Cambria Math" w:cs="Times New Roman"/>
                            <w:noProof/>
                            <w:kern w:val="0"/>
                            <w:sz w:val="20"/>
                            <w:szCs w:val="20"/>
                            <w:lang w:eastAsia="zh-CN"/>
                            <w14:ligatures w14:val="none"/>
                          </w:rPr>
                          <m:t>'</m:t>
                        </m:r>
                      </m:sup>
                    </m:sSubSup>
                  </m:num>
                  <m:den>
                    <m:r>
                      <m:rPr>
                        <m:sty m:val="p"/>
                      </m:rPr>
                      <w:rPr>
                        <w:rFonts w:ascii="Cambria Math" w:eastAsia="Times New Roman" w:hAnsi="Cambria Math" w:cs="Times New Roman"/>
                        <w:noProof/>
                        <w:snapToGrid w:val="0"/>
                        <w:kern w:val="0"/>
                        <w:sz w:val="20"/>
                        <w:lang w:eastAsia="de-DE" w:bidi="en-US"/>
                        <w14:ligatures w14:val="none"/>
                      </w:rPr>
                      <m:t>3</m:t>
                    </m:r>
                    <m:r>
                      <w:rPr>
                        <w:rFonts w:ascii="Cambria Math" w:eastAsia="Times New Roman" w:hAnsi="Cambria Math" w:cs="Times New Roman"/>
                        <w:noProof/>
                        <w:snapToGrid w:val="0"/>
                        <w:kern w:val="0"/>
                        <w:sz w:val="20"/>
                        <w:lang w:eastAsia="de-DE" w:bidi="en-US"/>
                        <w14:ligatures w14:val="none"/>
                      </w:rPr>
                      <m:t>RT</m:t>
                    </m:r>
                  </m:den>
                </m:f>
              </m:oMath>
            </m:oMathPara>
          </w:p>
        </w:tc>
        <w:tc>
          <w:tcPr>
            <w:tcW w:w="567" w:type="dxa"/>
            <w:vAlign w:val="center"/>
          </w:tcPr>
          <w:p w14:paraId="4CEE3B9A" w14:textId="77777777" w:rsidR="00137DC0" w:rsidRPr="00137DC0" w:rsidRDefault="00137DC0" w:rsidP="00137DC0">
            <w:pPr>
              <w:tabs>
                <w:tab w:val="left" w:pos="8222"/>
              </w:tabs>
              <w:spacing w:before="120" w:after="120" w:line="260" w:lineRule="atLeast"/>
              <w:contextualSpacing/>
              <w:jc w:val="both"/>
              <w:rPr>
                <w:rFonts w:ascii="Times New Roman" w:eastAsia="Times New Roman" w:hAnsi="Times New Roman" w:cs="Times New Roman"/>
                <w:noProof/>
                <w:snapToGrid w:val="0"/>
                <w:kern w:val="0"/>
                <w:sz w:val="20"/>
                <w:lang w:eastAsia="de-DE" w:bidi="en-US"/>
                <w14:ligatures w14:val="none"/>
              </w:rPr>
            </w:pPr>
            <w:r w:rsidRPr="00137DC0">
              <w:rPr>
                <w:rFonts w:ascii="Times New Roman" w:eastAsia="Times New Roman" w:hAnsi="Times New Roman" w:cs="Times New Roman"/>
                <w:noProof/>
                <w:snapToGrid w:val="0"/>
                <w:kern w:val="0"/>
                <w:sz w:val="20"/>
                <w:lang w:eastAsia="de-DE" w:bidi="en-US"/>
                <w14:ligatures w14:val="none"/>
              </w:rPr>
              <w:t>(1)</w:t>
            </w:r>
          </w:p>
        </w:tc>
      </w:tr>
    </w:tbl>
    <w:p w14:paraId="1C65A126" w14:textId="49DCBDA9" w:rsidR="00137DC0" w:rsidRPr="00137DC0" w:rsidRDefault="00137DC0" w:rsidP="00137DC0">
      <w:pPr>
        <w:pBdr>
          <w:top w:val="nil"/>
          <w:left w:val="nil"/>
          <w:bottom w:val="nil"/>
          <w:right w:val="nil"/>
          <w:between w:val="nil"/>
        </w:pBdr>
        <w:tabs>
          <w:tab w:val="left" w:pos="8222"/>
        </w:tabs>
        <w:spacing w:after="120"/>
        <w:contextualSpacing/>
        <w:jc w:val="both"/>
        <w:rPr>
          <w:rFonts w:ascii="Times New Roman" w:eastAsia="Calibri" w:hAnsi="Times New Roman" w:cs="Times New Roman"/>
          <w:kern w:val="0"/>
          <w:lang w:eastAsia="en-GB"/>
          <w14:ligatures w14:val="none"/>
        </w:rPr>
      </w:pPr>
      <w:r w:rsidRPr="00137DC0">
        <w:rPr>
          <w:rFonts w:ascii="Times New Roman" w:eastAsia="Calibri" w:hAnsi="Times New Roman" w:cs="Times New Roman"/>
          <w:kern w:val="0"/>
          <w:lang w:eastAsia="en-GB"/>
          <w14:ligatures w14:val="none"/>
        </w:rPr>
        <w:t xml:space="preserve">where </w:t>
      </w:r>
      <w:r w:rsidRPr="00137DC0">
        <w:rPr>
          <w:rFonts w:ascii="Times New Roman" w:eastAsia="Calibri" w:hAnsi="Times New Roman" w:cs="Times New Roman"/>
          <w:i/>
          <w:kern w:val="0"/>
          <w:lang w:eastAsia="en-GB"/>
          <w14:ligatures w14:val="none"/>
        </w:rPr>
        <w:t>v</w:t>
      </w:r>
      <w:r w:rsidRPr="00137DC0">
        <w:rPr>
          <w:rFonts w:ascii="Times New Roman" w:eastAsia="Calibri" w:hAnsi="Times New Roman" w:cs="Times New Roman"/>
          <w:kern w:val="0"/>
          <w:vertAlign w:val="subscript"/>
          <w:lang w:eastAsia="en-GB"/>
          <w14:ligatures w14:val="none"/>
        </w:rPr>
        <w:t>e</w:t>
      </w:r>
      <w:r w:rsidRPr="00137DC0">
        <w:rPr>
          <w:rFonts w:ascii="Times New Roman" w:eastAsia="Calibri" w:hAnsi="Times New Roman" w:cs="Times New Roman"/>
          <w:kern w:val="0"/>
          <w:lang w:eastAsia="en-GB"/>
          <w14:ligatures w14:val="none"/>
        </w:rPr>
        <w:t xml:space="preserve"> is the cross-link density (mol·cm</w:t>
      </w:r>
      <w:r w:rsidRPr="00137DC0">
        <w:rPr>
          <w:rFonts w:ascii="Times New Roman" w:eastAsia="Calibri" w:hAnsi="Times New Roman" w:cs="Times New Roman"/>
          <w:kern w:val="0"/>
          <w:vertAlign w:val="superscript"/>
          <w:lang w:eastAsia="en-GB"/>
          <w14:ligatures w14:val="none"/>
        </w:rPr>
        <w:t>−3</w:t>
      </w:r>
      <w:r w:rsidRPr="00137DC0">
        <w:rPr>
          <w:rFonts w:ascii="Times New Roman" w:eastAsia="Calibri" w:hAnsi="Times New Roman" w:cs="Times New Roman"/>
          <w:kern w:val="0"/>
          <w:lang w:eastAsia="en-GB"/>
          <w14:ligatures w14:val="none"/>
        </w:rPr>
        <w:t>); E'</w:t>
      </w:r>
      <w:r w:rsidRPr="00137DC0">
        <w:rPr>
          <w:rFonts w:ascii="Times New Roman" w:eastAsia="Calibri" w:hAnsi="Times New Roman" w:cs="Times New Roman"/>
          <w:kern w:val="0"/>
          <w:vertAlign w:val="subscript"/>
          <w:lang w:eastAsia="en-GB"/>
          <w14:ligatures w14:val="none"/>
        </w:rPr>
        <w:t>rubbery</w:t>
      </w:r>
      <w:r w:rsidRPr="00137DC0">
        <w:rPr>
          <w:rFonts w:ascii="Times New Roman" w:eastAsia="Calibri" w:hAnsi="Times New Roman" w:cs="Times New Roman"/>
          <w:kern w:val="0"/>
          <w:lang w:eastAsia="en-GB"/>
          <w14:ligatures w14:val="none"/>
        </w:rPr>
        <w:t xml:space="preserve"> is the storage modulus (MPa) at temperature T</w:t>
      </w:r>
      <w:r w:rsidRPr="00137DC0">
        <w:rPr>
          <w:rFonts w:ascii="Times New Roman" w:eastAsia="Calibri" w:hAnsi="Times New Roman" w:cs="Times New Roman"/>
          <w:kern w:val="0"/>
          <w:vertAlign w:val="subscript"/>
          <w:lang w:eastAsia="en-GB"/>
          <w14:ligatures w14:val="none"/>
        </w:rPr>
        <w:t>g(DMA)</w:t>
      </w:r>
      <w:r w:rsidRPr="00137DC0">
        <w:rPr>
          <w:rFonts w:ascii="Times New Roman" w:eastAsia="Calibri" w:hAnsi="Times New Roman" w:cs="Times New Roman"/>
          <w:kern w:val="0"/>
          <w:lang w:eastAsia="en-GB"/>
          <w14:ligatures w14:val="none"/>
        </w:rPr>
        <w:t>+50 (K); R is the gas constant; T is the temperature that corresponds to the rubbery storage modulus (K).</w:t>
      </w:r>
    </w:p>
    <w:p w14:paraId="01E3E668" w14:textId="334CD290" w:rsidR="00137DC0" w:rsidRPr="00137DC0" w:rsidRDefault="00137DC0" w:rsidP="00137DC0">
      <w:pPr>
        <w:pBdr>
          <w:top w:val="nil"/>
          <w:left w:val="nil"/>
          <w:bottom w:val="nil"/>
          <w:right w:val="nil"/>
          <w:between w:val="nil"/>
        </w:pBdr>
        <w:tabs>
          <w:tab w:val="left" w:pos="8222"/>
        </w:tabs>
        <w:spacing w:after="120"/>
        <w:contextualSpacing/>
        <w:jc w:val="both"/>
        <w:rPr>
          <w:rFonts w:ascii="Times New Roman" w:eastAsia="Calibri" w:hAnsi="Times New Roman" w:cs="Times New Roman"/>
          <w:kern w:val="0"/>
          <w:lang w:eastAsia="en-GB"/>
          <w14:ligatures w14:val="none"/>
        </w:rPr>
      </w:pPr>
      <w:r w:rsidRPr="00137DC0">
        <w:rPr>
          <w:rFonts w:ascii="Times New Roman" w:eastAsia="Calibri" w:hAnsi="Times New Roman" w:cs="Times New Roman"/>
          <w:kern w:val="0"/>
          <w:lang w:eastAsia="en-GB"/>
          <w14:ligatures w14:val="none"/>
        </w:rPr>
        <w:t>According to Equation 2, the molecular weight between cross-links M</w:t>
      </w:r>
      <w:r w:rsidRPr="00137DC0">
        <w:rPr>
          <w:rFonts w:ascii="Times New Roman" w:eastAsia="Calibri" w:hAnsi="Times New Roman" w:cs="Times New Roman"/>
          <w:kern w:val="0"/>
          <w:vertAlign w:val="subscript"/>
          <w:lang w:eastAsia="en-GB"/>
          <w14:ligatures w14:val="none"/>
        </w:rPr>
        <w:t>c</w:t>
      </w:r>
      <w:r w:rsidRPr="00137DC0">
        <w:rPr>
          <w:rFonts w:ascii="Times New Roman" w:eastAsia="Calibri" w:hAnsi="Times New Roman" w:cs="Times New Roman"/>
          <w:kern w:val="0"/>
          <w:lang w:eastAsia="en-GB"/>
          <w14:ligatures w14:val="none"/>
        </w:rPr>
        <w:t xml:space="preserve"> (g·mol</w:t>
      </w:r>
      <w:r w:rsidRPr="00137DC0">
        <w:rPr>
          <w:rFonts w:ascii="Times New Roman" w:eastAsia="Calibri" w:hAnsi="Times New Roman" w:cs="Times New Roman"/>
          <w:kern w:val="0"/>
          <w:vertAlign w:val="superscript"/>
          <w:lang w:eastAsia="en-GB"/>
          <w14:ligatures w14:val="none"/>
        </w:rPr>
        <w:t>−1</w:t>
      </w:r>
      <w:r w:rsidRPr="00137DC0">
        <w:rPr>
          <w:rFonts w:ascii="Times New Roman" w:eastAsia="Calibri" w:hAnsi="Times New Roman" w:cs="Times New Roman"/>
          <w:kern w:val="0"/>
          <w:lang w:eastAsia="en-GB"/>
          <w14:ligatures w14:val="none"/>
        </w:rPr>
        <w:t xml:space="preserve">) was found </w:t>
      </w:r>
      <w:r w:rsidRPr="00137DC0">
        <w:rPr>
          <w:rFonts w:ascii="Times New Roman" w:eastAsia="Calibri" w:hAnsi="Times New Roman" w:cs="Times New Roman"/>
          <w:kern w:val="0"/>
          <w:lang w:eastAsia="en-GB"/>
          <w14:ligatures w14:val="none"/>
        </w:rPr>
        <w:fldChar w:fldCharType="begin" w:fldLock="1"/>
      </w:r>
      <w:r w:rsidRPr="00137DC0">
        <w:rPr>
          <w:rFonts w:ascii="Times New Roman" w:eastAsia="Calibri" w:hAnsi="Times New Roman" w:cs="Times New Roman"/>
          <w:kern w:val="0"/>
          <w:lang w:eastAsia="en-GB"/>
          <w14:ligatures w14:val="none"/>
        </w:rPr>
        <w:instrText>ADDIN CSL_CITATION {"citationItems":[{"id":"ITEM-1","itemData":{"DOI":"10.5277/ABB-00590-2016-01","ISSN":"1509409X","PMID":"28552918","abstract":"Purpose: This paper presents the study aimed at the development of crosslinked poly(methyl methacrylate)s (X-PMMA) of varied crosslink density and the investigation of the relationships between the polymer network structure and dynamic mechanical properties. Methods: A series of model X-PMMA networks were crosslinked by the introduction of: 1, 2, 5, 10 and 20% of triethylene glycol dimethacrylate (TEGDMA). The copolymerizations led to various glass-rubber relaxation properties of the polymer networks, as revealed by dynamic-mechanical analysis (DMA). Glass temperature (Tg) and storage modulus above the Tg (Eʹrubbery) were a sensitive function of network architecture. DMA data were used for calculating the network parameter (Mc), crosslink density (q) and its alternative measure – the degree of crosslinking (DX). Results: The viscoelastic properties as well as structural parameters calculated from those showed correlation with the amount of the crosslinker. The increase in TEGDMA content resulted in the Tg, q and DX increases, whereas Mc decrease. The possible incomplete conversion of double bonds was detected in the DMA analysis, which was confirmed by the degree of conversion (DC), measured by FTIR spectroscopy. Additionally, some amount of sol fraction was found by 1H NMR experiments. Conclusions: The structure-property relationships developed for the system presented in this work could be useful in tissue engineering, where X-PMMA is applied. The direct measure of storage modulus values before and above glass transition may serve as a simple and fast indicator of the X-PMMA crosslink density.","author":[{"dropping-particle":"","family":"Barszczewska-Rybarek","given":"Izabela M.","non-dropping-particle":"","parse-names":false,"suffix":""},{"dropping-particle":"","family":"Korytkowska-Wałach","given":"Anna","non-dropping-particle":"","parse-names":false,"suffix":""},{"dropping-particle":"","family":"Kurcok","given":"Małgorzata","non-dropping-particle":"","parse-names":false,"suffix":""},{"dropping-particle":"","family":"Chladek","given":"Grzegorz","non-dropping-particle":"","parse-names":false,"suffix":""},{"dropping-particle":"","family":"Kasperski","given":"Jacek","non-dropping-particle":"","parse-names":false,"suffix":""}],"container-title":"Acta of Bioengineering and Biomechanics","id":"ITEM-1","issue":"1","issued":{"date-parts":[["2017"]]},"page":"47-53","title":"DMA analysis of the structure of crosslinked poly(methyl methacrylate)s","type":"article-journal","volume":"19"},"uris":["http://www.mendeley.com/documents/?uuid=002d6cb3-d0cf-466d-b53c-0fc1210ed82f","http://www.mendeley.com/documents/?uuid=ab5e8326-756b-4d33-8cc7-2221a20c80fd"]}],"mendeley":{"formattedCitation":"[5]","plainTextFormattedCitation":"[5]","previouslyFormattedCitation":"(Barszczewska-Rybarek et al., 2017)"},"properties":{"noteIndex":0},"schema":"https://github.com/citation-style-language/schema/raw/master/csl-citation.json"}</w:instrText>
      </w:r>
      <w:r w:rsidRPr="00137DC0">
        <w:rPr>
          <w:rFonts w:ascii="Times New Roman" w:eastAsia="Calibri" w:hAnsi="Times New Roman" w:cs="Times New Roman"/>
          <w:kern w:val="0"/>
          <w:lang w:eastAsia="en-GB"/>
          <w14:ligatures w14:val="none"/>
        </w:rPr>
        <w:fldChar w:fldCharType="separate"/>
      </w:r>
      <w:r w:rsidRPr="00137DC0">
        <w:rPr>
          <w:rFonts w:ascii="Times New Roman" w:eastAsia="Calibri" w:hAnsi="Times New Roman" w:cs="Times New Roman"/>
          <w:noProof/>
          <w:kern w:val="0"/>
          <w:lang w:eastAsia="en-GB"/>
          <w14:ligatures w14:val="none"/>
        </w:rPr>
        <w:t>[5]</w:t>
      </w:r>
      <w:r w:rsidRPr="00137DC0">
        <w:rPr>
          <w:rFonts w:ascii="Times New Roman" w:eastAsia="Calibri" w:hAnsi="Times New Roman" w:cs="Times New Roman"/>
          <w:kern w:val="0"/>
          <w:lang w:eastAsia="en-GB"/>
          <w14:ligatures w14:val="none"/>
        </w:rPr>
        <w:fldChar w:fldCharType="end"/>
      </w:r>
      <w:r w:rsidRPr="00137DC0">
        <w:rPr>
          <w:rFonts w:ascii="Times New Roman" w:eastAsia="Calibri" w:hAnsi="Times New Roman" w:cs="Times New Roman"/>
          <w:kern w:val="0"/>
          <w:lang w:eastAsia="en-GB"/>
          <w14:ligatures w14:val="none"/>
        </w:rPr>
        <w:t>.</w:t>
      </w:r>
    </w:p>
    <w:tbl>
      <w:tblPr>
        <w:tblW w:w="9214" w:type="dxa"/>
        <w:tblInd w:w="-142" w:type="dxa"/>
        <w:tblCellMar>
          <w:left w:w="0" w:type="dxa"/>
          <w:right w:w="0" w:type="dxa"/>
        </w:tblCellMar>
        <w:tblLook w:val="04A0" w:firstRow="1" w:lastRow="0" w:firstColumn="1" w:lastColumn="0" w:noHBand="0" w:noVBand="1"/>
      </w:tblPr>
      <w:tblGrid>
        <w:gridCol w:w="8647"/>
        <w:gridCol w:w="567"/>
      </w:tblGrid>
      <w:tr w:rsidR="00137DC0" w:rsidRPr="00137DC0" w14:paraId="7F263928" w14:textId="77777777" w:rsidTr="00116265">
        <w:tc>
          <w:tcPr>
            <w:tcW w:w="8647" w:type="dxa"/>
          </w:tcPr>
          <w:p w14:paraId="1F0ACEB8" w14:textId="77777777" w:rsidR="00137DC0" w:rsidRPr="00137DC0" w:rsidRDefault="00000000" w:rsidP="00137DC0">
            <w:pPr>
              <w:tabs>
                <w:tab w:val="left" w:pos="8222"/>
              </w:tabs>
              <w:adjustRightInd w:val="0"/>
              <w:snapToGrid w:val="0"/>
              <w:spacing w:before="120" w:after="120" w:line="260" w:lineRule="atLeast"/>
              <w:contextualSpacing/>
              <w:jc w:val="both"/>
              <w:rPr>
                <w:rFonts w:ascii="Times New Roman" w:eastAsia="Times New Roman" w:hAnsi="Times New Roman" w:cs="Times New Roman"/>
                <w:noProof/>
                <w:snapToGrid w:val="0"/>
                <w:kern w:val="0"/>
                <w:sz w:val="20"/>
                <w:lang w:eastAsia="de-DE" w:bidi="en-US"/>
                <w14:ligatures w14:val="none"/>
              </w:rPr>
            </w:pPr>
            <m:oMathPara>
              <m:oMathParaPr>
                <m:jc m:val="center"/>
              </m:oMathParaPr>
              <m:oMath>
                <m:sSub>
                  <m:sSubPr>
                    <m:ctrlPr>
                      <w:rPr>
                        <w:rFonts w:ascii="Cambria Math" w:eastAsia="Times New Roman" w:hAnsi="Cambria Math" w:cs="Times New Roman"/>
                        <w:noProof/>
                        <w:snapToGrid w:val="0"/>
                        <w:kern w:val="0"/>
                        <w:sz w:val="20"/>
                        <w:lang w:eastAsia="de-DE" w:bidi="en-US"/>
                        <w14:ligatures w14:val="none"/>
                      </w:rPr>
                    </m:ctrlPr>
                  </m:sSubPr>
                  <m:e>
                    <m:r>
                      <w:rPr>
                        <w:rFonts w:ascii="Cambria Math" w:eastAsia="SimSun" w:hAnsi="Cambria Math" w:cs="Times New Roman"/>
                        <w:noProof/>
                        <w:kern w:val="0"/>
                        <w:sz w:val="20"/>
                        <w:szCs w:val="20"/>
                        <w:lang w:eastAsia="zh-CN"/>
                        <w14:ligatures w14:val="none"/>
                      </w:rPr>
                      <m:t>M</m:t>
                    </m:r>
                  </m:e>
                  <m:sub>
                    <m:r>
                      <w:rPr>
                        <w:rFonts w:ascii="Cambria Math" w:eastAsia="SimSun" w:hAnsi="Cambria Math" w:cs="Times New Roman"/>
                        <w:noProof/>
                        <w:kern w:val="0"/>
                        <w:sz w:val="20"/>
                        <w:szCs w:val="20"/>
                        <w:lang w:eastAsia="zh-CN"/>
                        <w14:ligatures w14:val="none"/>
                      </w:rPr>
                      <m:t>c</m:t>
                    </m:r>
                  </m:sub>
                </m:sSub>
                <m:r>
                  <m:rPr>
                    <m:sty m:val="p"/>
                  </m:rPr>
                  <w:rPr>
                    <w:rFonts w:ascii="Cambria Math" w:eastAsia="SimSun" w:hAnsi="Cambria Math" w:cs="Times New Roman"/>
                    <w:noProof/>
                    <w:kern w:val="0"/>
                    <w:sz w:val="20"/>
                    <w:szCs w:val="20"/>
                    <w:lang w:eastAsia="zh-CN"/>
                    <w14:ligatures w14:val="none"/>
                  </w:rPr>
                  <m:t>=</m:t>
                </m:r>
                <m:f>
                  <m:fPr>
                    <m:ctrlPr>
                      <w:rPr>
                        <w:rFonts w:ascii="Cambria Math" w:eastAsia="Times New Roman" w:hAnsi="Cambria Math" w:cs="Times New Roman"/>
                        <w:noProof/>
                        <w:snapToGrid w:val="0"/>
                        <w:kern w:val="0"/>
                        <w:sz w:val="20"/>
                        <w:lang w:eastAsia="de-DE" w:bidi="en-US"/>
                        <w14:ligatures w14:val="none"/>
                      </w:rPr>
                    </m:ctrlPr>
                  </m:fPr>
                  <m:num>
                    <m:r>
                      <m:rPr>
                        <m:sty m:val="p"/>
                      </m:rPr>
                      <w:rPr>
                        <w:rFonts w:ascii="Cambria Math" w:eastAsia="SimSun" w:hAnsi="Cambria Math" w:cs="Times New Roman"/>
                        <w:noProof/>
                        <w:kern w:val="0"/>
                        <w:sz w:val="20"/>
                        <w:szCs w:val="20"/>
                        <w:lang w:eastAsia="zh-CN"/>
                        <w14:ligatures w14:val="none"/>
                      </w:rPr>
                      <m:t>3</m:t>
                    </m:r>
                    <m:r>
                      <w:rPr>
                        <w:rFonts w:ascii="Cambria Math" w:eastAsia="SimSun" w:hAnsi="Cambria Math" w:cs="Times New Roman"/>
                        <w:noProof/>
                        <w:kern w:val="0"/>
                        <w:sz w:val="20"/>
                        <w:szCs w:val="20"/>
                        <w:lang w:eastAsia="zh-CN"/>
                        <w14:ligatures w14:val="none"/>
                      </w:rPr>
                      <m:t>RTρ</m:t>
                    </m:r>
                  </m:num>
                  <m:den>
                    <m:sSubSup>
                      <m:sSubSupPr>
                        <m:ctrlPr>
                          <w:rPr>
                            <w:rFonts w:ascii="Cambria Math" w:eastAsia="Times New Roman" w:hAnsi="Cambria Math" w:cs="Times New Roman"/>
                            <w:noProof/>
                            <w:snapToGrid w:val="0"/>
                            <w:kern w:val="0"/>
                            <w:sz w:val="20"/>
                            <w:lang w:eastAsia="de-DE" w:bidi="en-US"/>
                            <w14:ligatures w14:val="none"/>
                          </w:rPr>
                        </m:ctrlPr>
                      </m:sSubSupPr>
                      <m:e>
                        <m:r>
                          <w:rPr>
                            <w:rFonts w:ascii="Cambria Math" w:eastAsia="SimSun" w:hAnsi="Cambria Math" w:cs="Times New Roman"/>
                            <w:noProof/>
                            <w:kern w:val="0"/>
                            <w:sz w:val="20"/>
                            <w:szCs w:val="20"/>
                            <w:lang w:eastAsia="zh-CN"/>
                            <w14:ligatures w14:val="none"/>
                          </w:rPr>
                          <m:t>E</m:t>
                        </m:r>
                      </m:e>
                      <m:sub>
                        <m:r>
                          <w:rPr>
                            <w:rFonts w:ascii="Cambria Math" w:eastAsia="SimSun" w:hAnsi="Cambria Math" w:cs="Times New Roman"/>
                            <w:noProof/>
                            <w:kern w:val="0"/>
                            <w:sz w:val="20"/>
                            <w:szCs w:val="20"/>
                            <w:lang w:eastAsia="zh-CN"/>
                            <w14:ligatures w14:val="none"/>
                          </w:rPr>
                          <m:t>rubbery</m:t>
                        </m:r>
                      </m:sub>
                      <m:sup>
                        <m:r>
                          <m:rPr>
                            <m:sty m:val="p"/>
                          </m:rPr>
                          <w:rPr>
                            <w:rFonts w:ascii="Cambria Math" w:eastAsia="SimSun" w:hAnsi="Cambria Math" w:cs="Times New Roman"/>
                            <w:noProof/>
                            <w:kern w:val="0"/>
                            <w:sz w:val="20"/>
                            <w:szCs w:val="20"/>
                            <w:lang w:eastAsia="zh-CN"/>
                            <w14:ligatures w14:val="none"/>
                          </w:rPr>
                          <m:t>'</m:t>
                        </m:r>
                      </m:sup>
                    </m:sSubSup>
                  </m:den>
                </m:f>
              </m:oMath>
            </m:oMathPara>
          </w:p>
        </w:tc>
        <w:tc>
          <w:tcPr>
            <w:tcW w:w="567" w:type="dxa"/>
            <w:vAlign w:val="center"/>
          </w:tcPr>
          <w:p w14:paraId="7CA91F64" w14:textId="77777777" w:rsidR="00137DC0" w:rsidRPr="00137DC0" w:rsidRDefault="00137DC0" w:rsidP="00137DC0">
            <w:pPr>
              <w:tabs>
                <w:tab w:val="left" w:pos="8222"/>
              </w:tabs>
              <w:spacing w:before="120" w:after="120" w:line="260" w:lineRule="atLeast"/>
              <w:contextualSpacing/>
              <w:jc w:val="both"/>
              <w:rPr>
                <w:rFonts w:ascii="Times New Roman" w:eastAsia="Times New Roman" w:hAnsi="Times New Roman" w:cs="Times New Roman"/>
                <w:noProof/>
                <w:snapToGrid w:val="0"/>
                <w:kern w:val="0"/>
                <w:sz w:val="20"/>
                <w:lang w:eastAsia="de-DE" w:bidi="en-US"/>
                <w14:ligatures w14:val="none"/>
              </w:rPr>
            </w:pPr>
            <w:r w:rsidRPr="00137DC0">
              <w:rPr>
                <w:rFonts w:ascii="Times New Roman" w:eastAsia="Times New Roman" w:hAnsi="Times New Roman" w:cs="Times New Roman"/>
                <w:noProof/>
                <w:snapToGrid w:val="0"/>
                <w:kern w:val="0"/>
                <w:sz w:val="20"/>
                <w:lang w:eastAsia="de-DE" w:bidi="en-US"/>
                <w14:ligatures w14:val="none"/>
              </w:rPr>
              <w:t>(2)</w:t>
            </w:r>
          </w:p>
        </w:tc>
      </w:tr>
    </w:tbl>
    <w:p w14:paraId="3388AF6E" w14:textId="70384A09" w:rsidR="009B77ED" w:rsidRPr="00137DC0" w:rsidRDefault="00137DC0">
      <w:pPr>
        <w:rPr>
          <w:rFonts w:ascii="Times New Roman" w:hAnsi="Times New Roman" w:cs="Times New Roman"/>
          <w:b/>
          <w:bCs/>
        </w:rPr>
      </w:pPr>
      <w:r w:rsidRPr="00137DC0">
        <w:rPr>
          <w:rFonts w:ascii="Times New Roman" w:hAnsi="Times New Roman" w:cs="Times New Roman"/>
          <w:b/>
          <w:bCs/>
        </w:rPr>
        <w:t>References</w:t>
      </w:r>
    </w:p>
    <w:p w14:paraId="3702AFCB" w14:textId="15C4A252" w:rsidR="00137DC0" w:rsidRPr="00137DC0" w:rsidRDefault="00137DC0" w:rsidP="00137DC0">
      <w:pPr>
        <w:widowControl w:val="0"/>
        <w:autoSpaceDE w:val="0"/>
        <w:autoSpaceDN w:val="0"/>
        <w:adjustRightInd w:val="0"/>
        <w:spacing w:line="240" w:lineRule="auto"/>
        <w:ind w:left="640" w:hanging="640"/>
        <w:rPr>
          <w:rFonts w:ascii="Times New Roman" w:hAnsi="Times New Roman" w:cs="Times New Roman"/>
          <w:noProof/>
          <w:kern w:val="0"/>
        </w:rPr>
      </w:pPr>
      <w:r w:rsidRPr="00137DC0">
        <w:rPr>
          <w:rFonts w:ascii="Times New Roman" w:hAnsi="Times New Roman" w:cs="Times New Roman"/>
        </w:rPr>
        <w:fldChar w:fldCharType="begin" w:fldLock="1"/>
      </w:r>
      <w:r w:rsidRPr="00137DC0">
        <w:rPr>
          <w:rFonts w:ascii="Times New Roman" w:hAnsi="Times New Roman" w:cs="Times New Roman"/>
        </w:rPr>
        <w:instrText xml:space="preserve">ADDIN Mendeley Bibliography CSL_BIBLIOGRAPHY </w:instrText>
      </w:r>
      <w:r w:rsidRPr="00137DC0">
        <w:rPr>
          <w:rFonts w:ascii="Times New Roman" w:hAnsi="Times New Roman" w:cs="Times New Roman"/>
        </w:rPr>
        <w:fldChar w:fldCharType="separate"/>
      </w:r>
      <w:r w:rsidRPr="00137DC0">
        <w:rPr>
          <w:rFonts w:ascii="Times New Roman" w:hAnsi="Times New Roman" w:cs="Times New Roman"/>
          <w:noProof/>
          <w:kern w:val="0"/>
        </w:rPr>
        <w:t>[1]</w:t>
      </w:r>
      <w:r w:rsidRPr="00137DC0">
        <w:rPr>
          <w:rFonts w:ascii="Times New Roman" w:hAnsi="Times New Roman" w:cs="Times New Roman"/>
          <w:noProof/>
          <w:kern w:val="0"/>
        </w:rPr>
        <w:tab/>
        <w:t>T.H. Kim, M. Kim, W. Lee, H.G. Kim, C.S. Lim, B. Seo, Synthesis and characterization of a polyurethane phase separated to nano size in an epoxy polymer, Coatings. 9 (2019). https://doi.org/10.3390/coatings9050319.</w:t>
      </w:r>
    </w:p>
    <w:p w14:paraId="7D1EC46D" w14:textId="77777777" w:rsidR="00137DC0" w:rsidRPr="00137DC0" w:rsidRDefault="00137DC0" w:rsidP="00137DC0">
      <w:pPr>
        <w:widowControl w:val="0"/>
        <w:autoSpaceDE w:val="0"/>
        <w:autoSpaceDN w:val="0"/>
        <w:adjustRightInd w:val="0"/>
        <w:spacing w:line="240" w:lineRule="auto"/>
        <w:ind w:left="640" w:hanging="640"/>
        <w:rPr>
          <w:rFonts w:ascii="Times New Roman" w:hAnsi="Times New Roman" w:cs="Times New Roman"/>
          <w:noProof/>
          <w:kern w:val="0"/>
        </w:rPr>
      </w:pPr>
      <w:r w:rsidRPr="00137DC0">
        <w:rPr>
          <w:rFonts w:ascii="Times New Roman" w:hAnsi="Times New Roman" w:cs="Times New Roman"/>
          <w:noProof/>
          <w:kern w:val="0"/>
        </w:rPr>
        <w:t>[2]</w:t>
      </w:r>
      <w:r w:rsidRPr="00137DC0">
        <w:rPr>
          <w:rFonts w:ascii="Times New Roman" w:hAnsi="Times New Roman" w:cs="Times New Roman"/>
          <w:noProof/>
          <w:kern w:val="0"/>
        </w:rPr>
        <w:tab/>
        <w:t>K.K. Jena, K.V.S.N. Raju, Synthesis and characterization of hyperbranched polyurethane hybrids using tetraethoxysilane (TEOS) as cross-linker, Ind. Eng. Chem. Res. 47 (2008) 9214–9224. https://doi.org/10.1021/ie800884y.</w:t>
      </w:r>
    </w:p>
    <w:p w14:paraId="206286F4" w14:textId="77777777" w:rsidR="00137DC0" w:rsidRPr="00137DC0" w:rsidRDefault="00137DC0" w:rsidP="00137DC0">
      <w:pPr>
        <w:widowControl w:val="0"/>
        <w:autoSpaceDE w:val="0"/>
        <w:autoSpaceDN w:val="0"/>
        <w:adjustRightInd w:val="0"/>
        <w:spacing w:line="240" w:lineRule="auto"/>
        <w:ind w:left="640" w:hanging="640"/>
        <w:rPr>
          <w:rFonts w:ascii="Times New Roman" w:hAnsi="Times New Roman" w:cs="Times New Roman"/>
          <w:noProof/>
          <w:kern w:val="0"/>
        </w:rPr>
      </w:pPr>
      <w:r w:rsidRPr="00137DC0">
        <w:rPr>
          <w:rFonts w:ascii="Times New Roman" w:hAnsi="Times New Roman" w:cs="Times New Roman"/>
          <w:noProof/>
          <w:kern w:val="0"/>
        </w:rPr>
        <w:t>[3]</w:t>
      </w:r>
      <w:r w:rsidRPr="00137DC0">
        <w:rPr>
          <w:rFonts w:ascii="Times New Roman" w:hAnsi="Times New Roman" w:cs="Times New Roman"/>
          <w:noProof/>
          <w:kern w:val="0"/>
        </w:rPr>
        <w:tab/>
        <w:t>L.W. Hill, Calculation of crosslink density in short chain networks, Prog. Org. Coatings. 31 (1997) 235–243. https://doi.org/10.1016/S0300-9440(97)00081-7.</w:t>
      </w:r>
    </w:p>
    <w:p w14:paraId="7EE01421" w14:textId="77777777" w:rsidR="00137DC0" w:rsidRPr="00137DC0" w:rsidRDefault="00137DC0" w:rsidP="00137DC0">
      <w:pPr>
        <w:widowControl w:val="0"/>
        <w:autoSpaceDE w:val="0"/>
        <w:autoSpaceDN w:val="0"/>
        <w:adjustRightInd w:val="0"/>
        <w:spacing w:line="240" w:lineRule="auto"/>
        <w:ind w:left="640" w:hanging="640"/>
        <w:rPr>
          <w:rFonts w:ascii="Times New Roman" w:hAnsi="Times New Roman" w:cs="Times New Roman"/>
          <w:noProof/>
          <w:kern w:val="0"/>
        </w:rPr>
      </w:pPr>
      <w:r w:rsidRPr="00137DC0">
        <w:rPr>
          <w:rFonts w:ascii="Times New Roman" w:hAnsi="Times New Roman" w:cs="Times New Roman"/>
          <w:noProof/>
          <w:kern w:val="0"/>
        </w:rPr>
        <w:t>[4]</w:t>
      </w:r>
      <w:r w:rsidRPr="00137DC0">
        <w:rPr>
          <w:rFonts w:ascii="Times New Roman" w:hAnsi="Times New Roman" w:cs="Times New Roman"/>
          <w:noProof/>
          <w:kern w:val="0"/>
        </w:rPr>
        <w:tab/>
        <w:t>C. Zhang, S.A. Madbouly, M.R. Kessler, Biobased polyurethanes prepared from different vegetable oils, ACS Appl. Mater. Interfaces. 7 (2015) 1226–1233. https://doi.org/10.1021/am5071333.</w:t>
      </w:r>
    </w:p>
    <w:p w14:paraId="75713FDA" w14:textId="77777777" w:rsidR="00137DC0" w:rsidRPr="00137DC0" w:rsidRDefault="00137DC0" w:rsidP="00137DC0">
      <w:pPr>
        <w:widowControl w:val="0"/>
        <w:autoSpaceDE w:val="0"/>
        <w:autoSpaceDN w:val="0"/>
        <w:adjustRightInd w:val="0"/>
        <w:spacing w:line="240" w:lineRule="auto"/>
        <w:ind w:left="640" w:hanging="640"/>
        <w:rPr>
          <w:rFonts w:ascii="Times New Roman" w:hAnsi="Times New Roman" w:cs="Times New Roman"/>
          <w:noProof/>
        </w:rPr>
      </w:pPr>
      <w:r w:rsidRPr="00137DC0">
        <w:rPr>
          <w:rFonts w:ascii="Times New Roman" w:hAnsi="Times New Roman" w:cs="Times New Roman"/>
          <w:noProof/>
          <w:kern w:val="0"/>
        </w:rPr>
        <w:t>[5]</w:t>
      </w:r>
      <w:r w:rsidRPr="00137DC0">
        <w:rPr>
          <w:rFonts w:ascii="Times New Roman" w:hAnsi="Times New Roman" w:cs="Times New Roman"/>
          <w:noProof/>
          <w:kern w:val="0"/>
        </w:rPr>
        <w:tab/>
        <w:t>I.M. Barszczewska-Rybarek, A. Korytkowska-Wałach, M. Kurcok, G. Chladek, J. Kasperski, DMA analysis of the structure of crosslinked poly(methyl methacrylate)s, Acta Bioeng. Biomech. 19 (2017) 47–53. https://doi.org/10.5277/ABB-00590-2016-01.</w:t>
      </w:r>
    </w:p>
    <w:p w14:paraId="540976FC" w14:textId="78B429B0" w:rsidR="00137DC0" w:rsidRPr="00137DC0" w:rsidRDefault="00137DC0">
      <w:pPr>
        <w:rPr>
          <w:rFonts w:ascii="Times New Roman" w:hAnsi="Times New Roman" w:cs="Times New Roman"/>
        </w:rPr>
      </w:pPr>
      <w:r w:rsidRPr="00137DC0">
        <w:rPr>
          <w:rFonts w:ascii="Times New Roman" w:hAnsi="Times New Roman" w:cs="Times New Roman"/>
        </w:rPr>
        <w:fldChar w:fldCharType="end"/>
      </w:r>
    </w:p>
    <w:sectPr w:rsidR="00137DC0" w:rsidRPr="00137DC0" w:rsidSect="00142D81">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EC306E"/>
    <w:multiLevelType w:val="multilevel"/>
    <w:tmpl w:val="D4BCE23A"/>
    <w:lvl w:ilvl="0">
      <w:start w:val="1"/>
      <w:numFmt w:val="decimal"/>
      <w:pStyle w:val="Virsraksts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9777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64E"/>
    <w:rsid w:val="00137DC0"/>
    <w:rsid w:val="00142D81"/>
    <w:rsid w:val="002B061F"/>
    <w:rsid w:val="004F5654"/>
    <w:rsid w:val="005D5A01"/>
    <w:rsid w:val="00634632"/>
    <w:rsid w:val="00820BE0"/>
    <w:rsid w:val="008939A4"/>
    <w:rsid w:val="008B1FB3"/>
    <w:rsid w:val="00900384"/>
    <w:rsid w:val="00980413"/>
    <w:rsid w:val="009B77ED"/>
    <w:rsid w:val="00B84330"/>
    <w:rsid w:val="00BE217A"/>
    <w:rsid w:val="00EA12AF"/>
    <w:rsid w:val="00ED1C27"/>
    <w:rsid w:val="00ED2650"/>
    <w:rsid w:val="00EE464E"/>
    <w:rsid w:val="00F46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5A2B1B"/>
  <w15:chartTrackingRefBased/>
  <w15:docId w15:val="{5AA8054B-8996-4060-BA54-9701CE60E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84330"/>
  </w:style>
  <w:style w:type="paragraph" w:styleId="Virsraksts1">
    <w:name w:val="heading 1"/>
    <w:basedOn w:val="Parasts"/>
    <w:next w:val="Parasts"/>
    <w:link w:val="Virsraksts1Rakstz"/>
    <w:qFormat/>
    <w:rsid w:val="00B84330"/>
    <w:pPr>
      <w:keepNext/>
      <w:keepLines/>
      <w:numPr>
        <w:numId w:val="1"/>
      </w:numPr>
      <w:spacing w:before="240" w:after="240"/>
      <w:outlineLvl w:val="0"/>
    </w:pPr>
    <w:rPr>
      <w:rFonts w:asciiTheme="majorHAnsi" w:eastAsiaTheme="majorEastAsia" w:hAnsiTheme="majorHAnsi" w:cstheme="majorBidi"/>
      <w:b/>
      <w:szCs w:val="32"/>
    </w:rPr>
  </w:style>
  <w:style w:type="paragraph" w:styleId="Virsraksts2">
    <w:name w:val="heading 2"/>
    <w:basedOn w:val="Parasts"/>
    <w:next w:val="Parasts"/>
    <w:link w:val="Virsraksts2Rakstz"/>
    <w:unhideWhenUsed/>
    <w:qFormat/>
    <w:rsid w:val="00B84330"/>
    <w:pPr>
      <w:keepNext/>
      <w:keepLines/>
      <w:spacing w:before="120" w:after="120"/>
      <w:outlineLvl w:val="1"/>
    </w:pPr>
    <w:rPr>
      <w:rFonts w:asciiTheme="majorHAnsi" w:eastAsiaTheme="majorEastAsia" w:hAnsiTheme="majorHAnsi" w:cstheme="majorBidi"/>
      <w:i/>
      <w:szCs w:val="26"/>
    </w:rPr>
  </w:style>
  <w:style w:type="paragraph" w:styleId="Virsraksts3">
    <w:name w:val="heading 3"/>
    <w:basedOn w:val="Parasts"/>
    <w:next w:val="Parasts"/>
    <w:link w:val="Virsraksts3Rakstz"/>
    <w:unhideWhenUsed/>
    <w:qFormat/>
    <w:rsid w:val="00B84330"/>
    <w:pPr>
      <w:keepNext/>
      <w:keepLines/>
      <w:spacing w:before="120" w:after="0" w:line="240" w:lineRule="auto"/>
      <w:outlineLvl w:val="2"/>
    </w:pPr>
    <w:rPr>
      <w:rFonts w:asciiTheme="majorHAnsi" w:eastAsiaTheme="majorEastAsia" w:hAnsiTheme="majorHAnsi" w:cstheme="majorBidi"/>
      <w:i/>
      <w:szCs w:val="24"/>
    </w:rPr>
  </w:style>
  <w:style w:type="paragraph" w:styleId="Virsraksts4">
    <w:name w:val="heading 4"/>
    <w:basedOn w:val="Parasts"/>
    <w:next w:val="Parasts"/>
    <w:link w:val="Virsraksts4Rakstz"/>
    <w:unhideWhenUsed/>
    <w:qFormat/>
    <w:rsid w:val="00B8433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next w:val="Parasts"/>
    <w:link w:val="Virsraksts5Rakstz"/>
    <w:rsid w:val="00B84330"/>
    <w:pPr>
      <w:keepNext/>
      <w:keepLines/>
      <w:spacing w:before="220" w:after="40"/>
      <w:outlineLvl w:val="4"/>
    </w:pPr>
    <w:rPr>
      <w:rFonts w:ascii="Calibri" w:eastAsia="Calibri" w:hAnsi="Calibri" w:cs="Calibri"/>
      <w:b/>
      <w:lang w:eastAsia="en-GB"/>
    </w:rPr>
  </w:style>
  <w:style w:type="paragraph" w:styleId="Virsraksts6">
    <w:name w:val="heading 6"/>
    <w:basedOn w:val="Parasts"/>
    <w:next w:val="Parasts"/>
    <w:link w:val="Virsraksts6Rakstz"/>
    <w:rsid w:val="00B84330"/>
    <w:pPr>
      <w:keepNext/>
      <w:keepLines/>
      <w:spacing w:before="200" w:after="40"/>
      <w:outlineLvl w:val="5"/>
    </w:pPr>
    <w:rPr>
      <w:rFonts w:ascii="Calibri" w:eastAsia="Calibri" w:hAnsi="Calibri" w:cs="Calibri"/>
      <w:b/>
      <w:sz w:val="20"/>
      <w:szCs w:val="20"/>
      <w:lang w:eastAsia="en-GB"/>
    </w:rPr>
  </w:style>
  <w:style w:type="paragraph" w:styleId="Virsraksts7">
    <w:name w:val="heading 7"/>
    <w:basedOn w:val="Parasts"/>
    <w:next w:val="Parasts"/>
    <w:link w:val="Virsraksts7Rakstz"/>
    <w:uiPriority w:val="9"/>
    <w:unhideWhenUsed/>
    <w:rsid w:val="00B84330"/>
    <w:pPr>
      <w:keepNext/>
      <w:keepLines/>
      <w:spacing w:before="40" w:after="0"/>
      <w:outlineLvl w:val="6"/>
    </w:pPr>
    <w:rPr>
      <w:rFonts w:asciiTheme="majorHAnsi" w:eastAsiaTheme="majorEastAsia" w:hAnsiTheme="majorHAnsi" w:cstheme="majorBidi"/>
      <w:i/>
      <w:iCs/>
      <w:color w:val="1F4D78" w:themeColor="accent1" w:themeShade="7F"/>
      <w:lang w:eastAsia="en-GB"/>
    </w:rPr>
  </w:style>
  <w:style w:type="paragraph" w:styleId="Virsraksts8">
    <w:name w:val="heading 8"/>
    <w:basedOn w:val="Parasts"/>
    <w:next w:val="Parasts"/>
    <w:link w:val="Virsraksts8Rakstz"/>
    <w:uiPriority w:val="9"/>
    <w:unhideWhenUsed/>
    <w:rsid w:val="00B84330"/>
    <w:pPr>
      <w:keepNext/>
      <w:keepLines/>
      <w:spacing w:before="40" w:after="0"/>
      <w:outlineLvl w:val="7"/>
    </w:pPr>
    <w:rPr>
      <w:rFonts w:asciiTheme="majorHAnsi" w:eastAsiaTheme="majorEastAsia" w:hAnsiTheme="majorHAnsi" w:cstheme="majorBidi"/>
      <w:color w:val="272727" w:themeColor="text1" w:themeTint="D8"/>
      <w:sz w:val="21"/>
      <w:szCs w:val="21"/>
      <w:lang w:eastAsia="en-GB"/>
    </w:rPr>
  </w:style>
  <w:style w:type="paragraph" w:styleId="Virsraksts9">
    <w:name w:val="heading 9"/>
    <w:basedOn w:val="Parasts"/>
    <w:next w:val="Parasts"/>
    <w:link w:val="Virsraksts9Rakstz"/>
    <w:uiPriority w:val="9"/>
    <w:semiHidden/>
    <w:unhideWhenUsed/>
    <w:rsid w:val="00B8433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B84330"/>
    <w:rPr>
      <w:rFonts w:asciiTheme="majorHAnsi" w:eastAsiaTheme="majorEastAsia" w:hAnsiTheme="majorHAnsi" w:cstheme="majorBidi"/>
      <w:b/>
      <w:szCs w:val="32"/>
    </w:rPr>
  </w:style>
  <w:style w:type="character" w:styleId="Komentraatsauce">
    <w:name w:val="annotation reference"/>
    <w:basedOn w:val="Noklusjumarindkopasfonts"/>
    <w:uiPriority w:val="99"/>
    <w:semiHidden/>
    <w:unhideWhenUsed/>
    <w:rsid w:val="00B84330"/>
    <w:rPr>
      <w:sz w:val="16"/>
      <w:szCs w:val="16"/>
    </w:rPr>
  </w:style>
  <w:style w:type="paragraph" w:customStyle="1" w:styleId="Acknowledgements">
    <w:name w:val="Acknowledgements"/>
    <w:basedOn w:val="Parasts"/>
    <w:qFormat/>
    <w:rsid w:val="00B84330"/>
    <w:pPr>
      <w:tabs>
        <w:tab w:val="left" w:pos="8222"/>
      </w:tabs>
      <w:spacing w:before="360" w:after="360"/>
      <w:jc w:val="both"/>
    </w:pPr>
    <w:rPr>
      <w:rFonts w:ascii="Calibri" w:eastAsia="Calibri" w:hAnsi="Calibri" w:cs="Calibri"/>
      <w:b/>
      <w:lang w:eastAsia="en-GB"/>
    </w:rPr>
  </w:style>
  <w:style w:type="paragraph" w:customStyle="1" w:styleId="Abstract">
    <w:name w:val="Abstract"/>
    <w:basedOn w:val="Acknowledgements"/>
    <w:qFormat/>
    <w:rsid w:val="00B84330"/>
    <w:pPr>
      <w:spacing w:before="240" w:after="240"/>
    </w:pPr>
  </w:style>
  <w:style w:type="paragraph" w:customStyle="1" w:styleId="Affiliation">
    <w:name w:val="Affiliation"/>
    <w:basedOn w:val="Parasts"/>
    <w:qFormat/>
    <w:rsid w:val="00B84330"/>
    <w:pPr>
      <w:tabs>
        <w:tab w:val="left" w:pos="8222"/>
      </w:tabs>
      <w:spacing w:before="240" w:after="240" w:line="240" w:lineRule="auto"/>
      <w:jc w:val="both"/>
    </w:pPr>
    <w:rPr>
      <w:rFonts w:ascii="Calibri" w:eastAsia="Calibri" w:hAnsi="Calibri" w:cs="Calibri"/>
      <w:i/>
      <w:sz w:val="16"/>
      <w:lang w:eastAsia="en-GB"/>
    </w:rPr>
  </w:style>
  <w:style w:type="paragraph" w:customStyle="1" w:styleId="Authors">
    <w:name w:val="Authors"/>
    <w:basedOn w:val="Parasts"/>
    <w:qFormat/>
    <w:rsid w:val="00B84330"/>
    <w:pPr>
      <w:tabs>
        <w:tab w:val="left" w:pos="8222"/>
      </w:tabs>
      <w:spacing w:before="240" w:after="240" w:line="240" w:lineRule="auto"/>
      <w:jc w:val="both"/>
    </w:pPr>
    <w:rPr>
      <w:rFonts w:ascii="Calibri" w:eastAsia="Calibri" w:hAnsi="Calibri" w:cs="Calibri"/>
      <w:lang w:eastAsia="en-GB"/>
    </w:rPr>
  </w:style>
  <w:style w:type="paragraph" w:styleId="Balonteksts">
    <w:name w:val="Balloon Text"/>
    <w:basedOn w:val="Parasts"/>
    <w:link w:val="BalontekstsRakstz"/>
    <w:uiPriority w:val="99"/>
    <w:semiHidden/>
    <w:unhideWhenUsed/>
    <w:rsid w:val="00B84330"/>
    <w:pPr>
      <w:spacing w:after="0" w:line="240" w:lineRule="auto"/>
    </w:pPr>
    <w:rPr>
      <w:rFonts w:ascii="Segoe UI" w:eastAsia="Calibri" w:hAnsi="Segoe UI" w:cs="Segoe UI"/>
      <w:sz w:val="18"/>
      <w:szCs w:val="18"/>
      <w:lang w:eastAsia="en-GB"/>
    </w:rPr>
  </w:style>
  <w:style w:type="character" w:customStyle="1" w:styleId="BalontekstsRakstz">
    <w:name w:val="Balonteksts Rakstz."/>
    <w:basedOn w:val="Noklusjumarindkopasfonts"/>
    <w:link w:val="Balonteksts"/>
    <w:uiPriority w:val="99"/>
    <w:semiHidden/>
    <w:rsid w:val="00B84330"/>
    <w:rPr>
      <w:rFonts w:ascii="Segoe UI" w:eastAsia="Calibri" w:hAnsi="Segoe UI" w:cs="Segoe UI"/>
      <w:sz w:val="18"/>
      <w:szCs w:val="18"/>
      <w:lang w:eastAsia="en-GB"/>
    </w:rPr>
  </w:style>
  <w:style w:type="character" w:customStyle="1" w:styleId="cf01">
    <w:name w:val="cf01"/>
    <w:basedOn w:val="Noklusjumarindkopasfonts"/>
    <w:rsid w:val="00B84330"/>
    <w:rPr>
      <w:rFonts w:ascii="Segoe UI" w:hAnsi="Segoe UI" w:cs="Segoe UI" w:hint="default"/>
      <w:sz w:val="18"/>
      <w:szCs w:val="18"/>
    </w:rPr>
  </w:style>
  <w:style w:type="paragraph" w:styleId="Komentrateksts">
    <w:name w:val="annotation text"/>
    <w:basedOn w:val="Parasts"/>
    <w:link w:val="KomentratekstsRakstz"/>
    <w:uiPriority w:val="99"/>
    <w:unhideWhenUsed/>
    <w:rsid w:val="00B84330"/>
    <w:pPr>
      <w:spacing w:line="240" w:lineRule="auto"/>
    </w:pPr>
    <w:rPr>
      <w:rFonts w:ascii="Calibri" w:eastAsia="Calibri" w:hAnsi="Calibri" w:cs="Calibri"/>
      <w:sz w:val="20"/>
      <w:szCs w:val="20"/>
      <w:lang w:eastAsia="en-GB"/>
    </w:rPr>
  </w:style>
  <w:style w:type="character" w:customStyle="1" w:styleId="KomentratekstsRakstz">
    <w:name w:val="Komentāra teksts Rakstz."/>
    <w:basedOn w:val="Noklusjumarindkopasfonts"/>
    <w:link w:val="Komentrateksts"/>
    <w:uiPriority w:val="99"/>
    <w:rsid w:val="00B84330"/>
    <w:rPr>
      <w:rFonts w:ascii="Calibri" w:eastAsia="Calibri" w:hAnsi="Calibri" w:cs="Calibri"/>
      <w:sz w:val="20"/>
      <w:szCs w:val="20"/>
      <w:lang w:eastAsia="en-GB"/>
    </w:rPr>
  </w:style>
  <w:style w:type="paragraph" w:styleId="Komentratma">
    <w:name w:val="annotation subject"/>
    <w:basedOn w:val="Komentrateksts"/>
    <w:next w:val="Komentrateksts"/>
    <w:link w:val="KomentratmaRakstz"/>
    <w:uiPriority w:val="99"/>
    <w:semiHidden/>
    <w:unhideWhenUsed/>
    <w:rsid w:val="00B84330"/>
    <w:rPr>
      <w:b/>
      <w:bCs/>
    </w:rPr>
  </w:style>
  <w:style w:type="character" w:customStyle="1" w:styleId="KomentratmaRakstz">
    <w:name w:val="Komentāra tēma Rakstz."/>
    <w:basedOn w:val="KomentratekstsRakstz"/>
    <w:link w:val="Komentratma"/>
    <w:uiPriority w:val="99"/>
    <w:semiHidden/>
    <w:rsid w:val="00B84330"/>
    <w:rPr>
      <w:rFonts w:ascii="Calibri" w:eastAsia="Calibri" w:hAnsi="Calibri" w:cs="Calibri"/>
      <w:b/>
      <w:bCs/>
      <w:sz w:val="20"/>
      <w:szCs w:val="20"/>
      <w:lang w:eastAsia="en-GB"/>
    </w:rPr>
  </w:style>
  <w:style w:type="paragraph" w:customStyle="1" w:styleId="Fig">
    <w:name w:val="Fig."/>
    <w:basedOn w:val="Parasts"/>
    <w:qFormat/>
    <w:rsid w:val="00B84330"/>
    <w:pPr>
      <w:pBdr>
        <w:top w:val="nil"/>
        <w:left w:val="nil"/>
        <w:bottom w:val="nil"/>
        <w:right w:val="nil"/>
        <w:between w:val="nil"/>
      </w:pBdr>
      <w:tabs>
        <w:tab w:val="left" w:pos="8222"/>
      </w:tabs>
      <w:spacing w:after="240"/>
      <w:jc w:val="center"/>
    </w:pPr>
    <w:rPr>
      <w:rFonts w:ascii="Calibri" w:eastAsia="Calibri" w:hAnsi="Calibri" w:cs="Calibri"/>
      <w:lang w:eastAsia="en-GB"/>
    </w:rPr>
  </w:style>
  <w:style w:type="paragraph" w:styleId="Kjene">
    <w:name w:val="footer"/>
    <w:basedOn w:val="Parasts"/>
    <w:link w:val="KjeneRakstz"/>
    <w:uiPriority w:val="99"/>
    <w:unhideWhenUsed/>
    <w:rsid w:val="00B84330"/>
    <w:pPr>
      <w:tabs>
        <w:tab w:val="center" w:pos="4513"/>
        <w:tab w:val="right" w:pos="9026"/>
      </w:tabs>
      <w:spacing w:after="0" w:line="240" w:lineRule="auto"/>
    </w:pPr>
    <w:rPr>
      <w:rFonts w:ascii="Calibri" w:eastAsia="Calibri" w:hAnsi="Calibri" w:cs="Calibri"/>
      <w:lang w:eastAsia="en-GB"/>
    </w:rPr>
  </w:style>
  <w:style w:type="character" w:customStyle="1" w:styleId="KjeneRakstz">
    <w:name w:val="Kājene Rakstz."/>
    <w:basedOn w:val="Noklusjumarindkopasfonts"/>
    <w:link w:val="Kjene"/>
    <w:uiPriority w:val="99"/>
    <w:rsid w:val="00B84330"/>
    <w:rPr>
      <w:rFonts w:ascii="Calibri" w:eastAsia="Calibri" w:hAnsi="Calibri" w:cs="Calibri"/>
      <w:lang w:eastAsia="en-GB"/>
    </w:rPr>
  </w:style>
  <w:style w:type="paragraph" w:styleId="Galvene">
    <w:name w:val="header"/>
    <w:basedOn w:val="Parasts"/>
    <w:link w:val="GalveneRakstz"/>
    <w:uiPriority w:val="99"/>
    <w:unhideWhenUsed/>
    <w:rsid w:val="00B84330"/>
    <w:pPr>
      <w:tabs>
        <w:tab w:val="center" w:pos="4513"/>
        <w:tab w:val="right" w:pos="9026"/>
      </w:tabs>
      <w:spacing w:after="0" w:line="240" w:lineRule="auto"/>
    </w:pPr>
    <w:rPr>
      <w:rFonts w:ascii="Calibri" w:eastAsia="Calibri" w:hAnsi="Calibri" w:cs="Calibri"/>
      <w:lang w:eastAsia="en-GB"/>
    </w:rPr>
  </w:style>
  <w:style w:type="character" w:customStyle="1" w:styleId="GalveneRakstz">
    <w:name w:val="Galvene Rakstz."/>
    <w:basedOn w:val="Noklusjumarindkopasfonts"/>
    <w:link w:val="Galvene"/>
    <w:uiPriority w:val="99"/>
    <w:rsid w:val="00B84330"/>
    <w:rPr>
      <w:rFonts w:ascii="Calibri" w:eastAsia="Calibri" w:hAnsi="Calibri" w:cs="Calibri"/>
      <w:lang w:eastAsia="en-GB"/>
    </w:rPr>
  </w:style>
  <w:style w:type="character" w:customStyle="1" w:styleId="Virsraksts2Rakstz">
    <w:name w:val="Virsraksts 2 Rakstz."/>
    <w:basedOn w:val="Noklusjumarindkopasfonts"/>
    <w:link w:val="Virsraksts2"/>
    <w:rsid w:val="00B84330"/>
    <w:rPr>
      <w:rFonts w:asciiTheme="majorHAnsi" w:eastAsiaTheme="majorEastAsia" w:hAnsiTheme="majorHAnsi" w:cstheme="majorBidi"/>
      <w:i/>
      <w:szCs w:val="26"/>
    </w:rPr>
  </w:style>
  <w:style w:type="character" w:customStyle="1" w:styleId="Virsraksts3Rakstz">
    <w:name w:val="Virsraksts 3 Rakstz."/>
    <w:basedOn w:val="Noklusjumarindkopasfonts"/>
    <w:link w:val="Virsraksts3"/>
    <w:rsid w:val="00B84330"/>
    <w:rPr>
      <w:rFonts w:asciiTheme="majorHAnsi" w:eastAsiaTheme="majorEastAsia" w:hAnsiTheme="majorHAnsi" w:cstheme="majorBidi"/>
      <w:i/>
      <w:szCs w:val="24"/>
    </w:rPr>
  </w:style>
  <w:style w:type="character" w:customStyle="1" w:styleId="Virsraksts4Rakstz">
    <w:name w:val="Virsraksts 4 Rakstz."/>
    <w:basedOn w:val="Noklusjumarindkopasfonts"/>
    <w:link w:val="Virsraksts4"/>
    <w:rsid w:val="00B84330"/>
    <w:rPr>
      <w:rFonts w:asciiTheme="majorHAnsi" w:eastAsiaTheme="majorEastAsia" w:hAnsiTheme="majorHAnsi" w:cstheme="majorBidi"/>
      <w:i/>
      <w:iCs/>
      <w:color w:val="2E74B5" w:themeColor="accent1" w:themeShade="BF"/>
    </w:rPr>
  </w:style>
  <w:style w:type="character" w:customStyle="1" w:styleId="Virsraksts5Rakstz">
    <w:name w:val="Virsraksts 5 Rakstz."/>
    <w:basedOn w:val="Noklusjumarindkopasfonts"/>
    <w:link w:val="Virsraksts5"/>
    <w:rsid w:val="00B84330"/>
    <w:rPr>
      <w:rFonts w:ascii="Calibri" w:eastAsia="Calibri" w:hAnsi="Calibri" w:cs="Calibri"/>
      <w:b/>
      <w:lang w:eastAsia="en-GB"/>
    </w:rPr>
  </w:style>
  <w:style w:type="character" w:customStyle="1" w:styleId="Virsraksts6Rakstz">
    <w:name w:val="Virsraksts 6 Rakstz."/>
    <w:basedOn w:val="Noklusjumarindkopasfonts"/>
    <w:link w:val="Virsraksts6"/>
    <w:rsid w:val="00B84330"/>
    <w:rPr>
      <w:rFonts w:ascii="Calibri" w:eastAsia="Calibri" w:hAnsi="Calibri" w:cs="Calibri"/>
      <w:b/>
      <w:sz w:val="20"/>
      <w:szCs w:val="20"/>
      <w:lang w:eastAsia="en-GB"/>
    </w:rPr>
  </w:style>
  <w:style w:type="character" w:customStyle="1" w:styleId="Virsraksts7Rakstz">
    <w:name w:val="Virsraksts 7 Rakstz."/>
    <w:basedOn w:val="Noklusjumarindkopasfonts"/>
    <w:link w:val="Virsraksts7"/>
    <w:uiPriority w:val="9"/>
    <w:rsid w:val="00B84330"/>
    <w:rPr>
      <w:rFonts w:asciiTheme="majorHAnsi" w:eastAsiaTheme="majorEastAsia" w:hAnsiTheme="majorHAnsi" w:cstheme="majorBidi"/>
      <w:i/>
      <w:iCs/>
      <w:color w:val="1F4D78" w:themeColor="accent1" w:themeShade="7F"/>
      <w:lang w:eastAsia="en-GB"/>
    </w:rPr>
  </w:style>
  <w:style w:type="character" w:customStyle="1" w:styleId="Virsraksts8Rakstz">
    <w:name w:val="Virsraksts 8 Rakstz."/>
    <w:basedOn w:val="Noklusjumarindkopasfonts"/>
    <w:link w:val="Virsraksts8"/>
    <w:uiPriority w:val="9"/>
    <w:rsid w:val="00B84330"/>
    <w:rPr>
      <w:rFonts w:asciiTheme="majorHAnsi" w:eastAsiaTheme="majorEastAsia" w:hAnsiTheme="majorHAnsi" w:cstheme="majorBidi"/>
      <w:color w:val="272727" w:themeColor="text1" w:themeTint="D8"/>
      <w:sz w:val="21"/>
      <w:szCs w:val="21"/>
      <w:lang w:eastAsia="en-GB"/>
    </w:rPr>
  </w:style>
  <w:style w:type="character" w:customStyle="1" w:styleId="Virsraksts9Rakstz">
    <w:name w:val="Virsraksts 9 Rakstz."/>
    <w:basedOn w:val="Noklusjumarindkopasfonts"/>
    <w:link w:val="Virsraksts9"/>
    <w:uiPriority w:val="9"/>
    <w:semiHidden/>
    <w:rsid w:val="00B84330"/>
    <w:rPr>
      <w:rFonts w:asciiTheme="majorHAnsi" w:eastAsiaTheme="majorEastAsia" w:hAnsiTheme="majorHAnsi" w:cstheme="majorBidi"/>
      <w:i/>
      <w:iCs/>
      <w:color w:val="272727" w:themeColor="text1" w:themeTint="D8"/>
      <w:sz w:val="21"/>
      <w:szCs w:val="21"/>
    </w:rPr>
  </w:style>
  <w:style w:type="character" w:styleId="Hipersaite">
    <w:name w:val="Hyperlink"/>
    <w:basedOn w:val="Noklusjumarindkopasfonts"/>
    <w:uiPriority w:val="99"/>
    <w:unhideWhenUsed/>
    <w:rsid w:val="00B84330"/>
    <w:rPr>
      <w:color w:val="0563C1" w:themeColor="hyperlink"/>
      <w:u w:val="single"/>
    </w:rPr>
  </w:style>
  <w:style w:type="paragraph" w:styleId="Sarakstarindkopa">
    <w:name w:val="List Paragraph"/>
    <w:basedOn w:val="Parasts"/>
    <w:uiPriority w:val="34"/>
    <w:rsid w:val="00B84330"/>
    <w:pPr>
      <w:ind w:left="720"/>
      <w:contextualSpacing/>
    </w:pPr>
    <w:rPr>
      <w:rFonts w:ascii="Calibri" w:eastAsia="Calibri" w:hAnsi="Calibri" w:cs="Calibri"/>
      <w:lang w:eastAsia="en-GB"/>
    </w:rPr>
  </w:style>
  <w:style w:type="character" w:customStyle="1" w:styleId="Neatrisintapieminana1">
    <w:name w:val="Neatrisināta pieminēšana1"/>
    <w:basedOn w:val="Noklusjumarindkopasfonts"/>
    <w:uiPriority w:val="99"/>
    <w:semiHidden/>
    <w:unhideWhenUsed/>
    <w:rsid w:val="00B84330"/>
    <w:rPr>
      <w:color w:val="605E5C"/>
      <w:shd w:val="clear" w:color="auto" w:fill="E1DFDD"/>
    </w:rPr>
  </w:style>
  <w:style w:type="numbering" w:customStyle="1" w:styleId="NoList1">
    <w:name w:val="No List1"/>
    <w:next w:val="Bezsaraksta"/>
    <w:uiPriority w:val="99"/>
    <w:semiHidden/>
    <w:unhideWhenUsed/>
    <w:rsid w:val="00B84330"/>
  </w:style>
  <w:style w:type="paragraph" w:styleId="Bezatstarpm">
    <w:name w:val="No Spacing"/>
    <w:uiPriority w:val="1"/>
    <w:rsid w:val="00B84330"/>
    <w:pPr>
      <w:spacing w:after="0" w:line="240" w:lineRule="auto"/>
    </w:pPr>
    <w:rPr>
      <w:rFonts w:ascii="Calibri" w:eastAsia="Calibri" w:hAnsi="Calibri" w:cs="Calibri"/>
      <w:lang w:eastAsia="en-GB"/>
    </w:rPr>
  </w:style>
  <w:style w:type="paragraph" w:styleId="Apakvirsraksts">
    <w:name w:val="Subtitle"/>
    <w:basedOn w:val="Parasts"/>
    <w:next w:val="Parasts"/>
    <w:link w:val="ApakvirsrakstsRakstz"/>
    <w:rsid w:val="00B84330"/>
    <w:pPr>
      <w:keepNext/>
      <w:keepLines/>
      <w:spacing w:before="360" w:after="80"/>
    </w:pPr>
    <w:rPr>
      <w:rFonts w:ascii="Georgia" w:eastAsia="Georgia" w:hAnsi="Georgia" w:cs="Georgia"/>
      <w:i/>
      <w:color w:val="666666"/>
      <w:sz w:val="48"/>
      <w:szCs w:val="48"/>
      <w:lang w:eastAsia="en-GB"/>
    </w:rPr>
  </w:style>
  <w:style w:type="character" w:customStyle="1" w:styleId="ApakvirsrakstsRakstz">
    <w:name w:val="Apakšvirsraksts Rakstz."/>
    <w:basedOn w:val="Noklusjumarindkopasfonts"/>
    <w:link w:val="Apakvirsraksts"/>
    <w:rsid w:val="00B84330"/>
    <w:rPr>
      <w:rFonts w:ascii="Georgia" w:eastAsia="Georgia" w:hAnsi="Georgia" w:cs="Georgia"/>
      <w:i/>
      <w:color w:val="666666"/>
      <w:sz w:val="48"/>
      <w:szCs w:val="48"/>
      <w:lang w:eastAsia="en-GB"/>
    </w:rPr>
  </w:style>
  <w:style w:type="paragraph" w:customStyle="1" w:styleId="Table">
    <w:name w:val="Table"/>
    <w:basedOn w:val="Parasts"/>
    <w:qFormat/>
    <w:rsid w:val="00B84330"/>
    <w:pPr>
      <w:pBdr>
        <w:top w:val="nil"/>
        <w:left w:val="nil"/>
        <w:bottom w:val="nil"/>
        <w:right w:val="nil"/>
        <w:between w:val="nil"/>
      </w:pBdr>
      <w:tabs>
        <w:tab w:val="left" w:pos="8222"/>
      </w:tabs>
      <w:spacing w:before="240" w:after="0"/>
    </w:pPr>
    <w:rPr>
      <w:rFonts w:ascii="Calibri" w:eastAsia="Calibri" w:hAnsi="Calibri" w:cs="Calibri"/>
      <w:b/>
      <w:lang w:eastAsia="en-GB"/>
    </w:rPr>
  </w:style>
  <w:style w:type="table" w:styleId="Reatabula">
    <w:name w:val="Table Grid"/>
    <w:basedOn w:val="Parastatabula"/>
    <w:uiPriority w:val="39"/>
    <w:rsid w:val="00B84330"/>
    <w:pPr>
      <w:spacing w:after="0" w:line="240" w:lineRule="auto"/>
    </w:pPr>
    <w:rPr>
      <w:rFonts w:ascii="Calibri" w:eastAsia="Calibri" w:hAnsi="Calibri" w:cs="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 title"/>
    <w:basedOn w:val="Table"/>
    <w:qFormat/>
    <w:rsid w:val="00B84330"/>
    <w:pPr>
      <w:spacing w:before="0"/>
    </w:pPr>
    <w:rPr>
      <w:b w:val="0"/>
    </w:rPr>
  </w:style>
  <w:style w:type="paragraph" w:styleId="Nosaukums">
    <w:name w:val="Title"/>
    <w:basedOn w:val="Parasts"/>
    <w:next w:val="Parasts"/>
    <w:link w:val="NosaukumsRakstz"/>
    <w:rsid w:val="00B84330"/>
    <w:pPr>
      <w:keepNext/>
      <w:keepLines/>
      <w:spacing w:before="480" w:after="120"/>
    </w:pPr>
    <w:rPr>
      <w:rFonts w:ascii="Calibri" w:eastAsia="Calibri" w:hAnsi="Calibri" w:cs="Calibri"/>
      <w:b/>
      <w:sz w:val="72"/>
      <w:szCs w:val="72"/>
      <w:lang w:eastAsia="en-GB"/>
    </w:rPr>
  </w:style>
  <w:style w:type="character" w:customStyle="1" w:styleId="NosaukumsRakstz">
    <w:name w:val="Nosaukums Rakstz."/>
    <w:basedOn w:val="Noklusjumarindkopasfonts"/>
    <w:link w:val="Nosaukums"/>
    <w:rsid w:val="00B84330"/>
    <w:rPr>
      <w:rFonts w:ascii="Calibri" w:eastAsia="Calibri" w:hAnsi="Calibri" w:cs="Calibri"/>
      <w:b/>
      <w:sz w:val="72"/>
      <w:szCs w:val="72"/>
      <w:lang w:eastAsia="en-GB"/>
    </w:rPr>
  </w:style>
  <w:style w:type="paragraph" w:customStyle="1" w:styleId="Title1">
    <w:name w:val="Title_1"/>
    <w:basedOn w:val="Parasts"/>
    <w:qFormat/>
    <w:rsid w:val="00B84330"/>
    <w:pPr>
      <w:tabs>
        <w:tab w:val="left" w:pos="8222"/>
      </w:tabs>
      <w:spacing w:after="240"/>
      <w:contextualSpacing/>
      <w:jc w:val="both"/>
    </w:pPr>
    <w:rPr>
      <w:rFonts w:ascii="Calibri" w:eastAsia="Calibri" w:hAnsi="Calibri" w:cs="Calibri"/>
      <w:b/>
      <w:sz w:val="26"/>
      <w:szCs w:val="26"/>
      <w:lang w:eastAsia="en-GB"/>
    </w:rPr>
  </w:style>
  <w:style w:type="character" w:customStyle="1" w:styleId="topic-highlight">
    <w:name w:val="topic-highlight"/>
    <w:basedOn w:val="Noklusjumarindkopasfonts"/>
    <w:rsid w:val="00B84330"/>
  </w:style>
  <w:style w:type="paragraph" w:styleId="Citts">
    <w:name w:val="Quote"/>
    <w:basedOn w:val="Parasts"/>
    <w:next w:val="Parasts"/>
    <w:link w:val="CittsRakstz"/>
    <w:uiPriority w:val="29"/>
    <w:qFormat/>
    <w:rsid w:val="00EE464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E464E"/>
    <w:rPr>
      <w:i/>
      <w:iCs/>
      <w:color w:val="404040" w:themeColor="text1" w:themeTint="BF"/>
    </w:rPr>
  </w:style>
  <w:style w:type="character" w:styleId="Intensvsizclums">
    <w:name w:val="Intense Emphasis"/>
    <w:basedOn w:val="Noklusjumarindkopasfonts"/>
    <w:uiPriority w:val="21"/>
    <w:qFormat/>
    <w:rsid w:val="00EE464E"/>
    <w:rPr>
      <w:i/>
      <w:iCs/>
      <w:color w:val="2E74B5" w:themeColor="accent1" w:themeShade="BF"/>
    </w:rPr>
  </w:style>
  <w:style w:type="paragraph" w:styleId="Intensvscitts">
    <w:name w:val="Intense Quote"/>
    <w:basedOn w:val="Parasts"/>
    <w:next w:val="Parasts"/>
    <w:link w:val="IntensvscittsRakstz"/>
    <w:uiPriority w:val="30"/>
    <w:qFormat/>
    <w:rsid w:val="00EE464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EE464E"/>
    <w:rPr>
      <w:i/>
      <w:iCs/>
      <w:color w:val="2E74B5" w:themeColor="accent1" w:themeShade="BF"/>
    </w:rPr>
  </w:style>
  <w:style w:type="character" w:styleId="Intensvaatsauce">
    <w:name w:val="Intense Reference"/>
    <w:basedOn w:val="Noklusjumarindkopasfonts"/>
    <w:uiPriority w:val="32"/>
    <w:qFormat/>
    <w:rsid w:val="00EE464E"/>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4B58D-A56F-4170-AFF4-B032C72D4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8171</Words>
  <Characters>4658</Characters>
  <Application>Microsoft Office Word</Application>
  <DocSecurity>0</DocSecurity>
  <Lines>38</Lines>
  <Paragraphs>25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Ralfs</dc:creator>
  <cp:keywords/>
  <dc:description/>
  <cp:lastModifiedBy>Ralfs</cp:lastModifiedBy>
  <cp:revision>6</cp:revision>
  <dcterms:created xsi:type="dcterms:W3CDTF">2024-02-15T12:54:00Z</dcterms:created>
  <dcterms:modified xsi:type="dcterms:W3CDTF">2024-03-01T11:17:00Z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5eb34e77-0c7e-390b-bf12-5d475de6e564</vt:lpwstr>
  </property>
  <property fmtid="{D5CDD505-2E9C-101B-9397-08002B2CF9AE}" pid="4" name="Mendeley Citation Style_1">
    <vt:lpwstr>http://www.zotero.org/styles/european-polymer-journal</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 6th edition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17th edition (author-date)</vt:lpwstr>
  </property>
  <property fmtid="{D5CDD505-2E9C-101B-9397-08002B2CF9AE}" pid="11" name="Mendeley Recent Style Id 3_1">
    <vt:lpwstr>http://www.zotero.org/styles/harvard-cite-them-right</vt:lpwstr>
  </property>
  <property fmtid="{D5CDD505-2E9C-101B-9397-08002B2CF9AE}" pid="12" name="Mendeley Recent Style Name 3_1">
    <vt:lpwstr>Cite Them Right 10th edition - Harvard</vt:lpwstr>
  </property>
  <property fmtid="{D5CDD505-2E9C-101B-9397-08002B2CF9AE}" pid="13" name="Mendeley Recent Style Id 4_1">
    <vt:lpwstr>http://www.zotero.org/styles/elsevier-vancouver-author-date</vt:lpwstr>
  </property>
  <property fmtid="{D5CDD505-2E9C-101B-9397-08002B2CF9AE}" pid="14" name="Mendeley Recent Style Name 4_1">
    <vt:lpwstr>Elsevier - Vancouver (author-date)</vt:lpwstr>
  </property>
  <property fmtid="{D5CDD505-2E9C-101B-9397-08002B2CF9AE}" pid="15" name="Mendeley Recent Style Id 5_1">
    <vt:lpwstr>http://www.zotero.org/styles/european-polymer-journal</vt:lpwstr>
  </property>
  <property fmtid="{D5CDD505-2E9C-101B-9397-08002B2CF9AE}" pid="16" name="Mendeley Recent Style Name 5_1">
    <vt:lpwstr>European Polymer Journal</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http://www.zotero.org/styles/polymers</vt:lpwstr>
  </property>
  <property fmtid="{D5CDD505-2E9C-101B-9397-08002B2CF9AE}" pid="20" name="Mendeley Recent Style Name 7_1">
    <vt:lpwstr>Polymers</vt:lpwstr>
  </property>
  <property fmtid="{D5CDD505-2E9C-101B-9397-08002B2CF9AE}" pid="21" name="Mendeley Recent Style Id 8_1">
    <vt:lpwstr>http://www.zotero.org/styles/process-biochemistry</vt:lpwstr>
  </property>
  <property fmtid="{D5CDD505-2E9C-101B-9397-08002B2CF9AE}" pid="22" name="Mendeley Recent Style Name 8_1">
    <vt:lpwstr>Process Biochemistry</vt:lpwstr>
  </property>
  <property fmtid="{D5CDD505-2E9C-101B-9397-08002B2CF9AE}" pid="23" name="Mendeley Recent Style Id 9_1">
    <vt:lpwstr>http://www.zotero.org/styles/scientific-reports</vt:lpwstr>
  </property>
  <property fmtid="{D5CDD505-2E9C-101B-9397-08002B2CF9AE}" pid="24" name="Mendeley Recent Style Name 9_1">
    <vt:lpwstr>Scientific Reports</vt:lpwstr>
  </property>
</Properties>
</file>